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A9" w:rsidRDefault="00C204A9" w:rsidP="00C204A9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MOLYs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tilsetningsstoffer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får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helletuter</w:t>
      </w:r>
      <w:proofErr w:type="spellEnd"/>
    </w:p>
    <w:p w:rsidR="00C204A9" w:rsidRDefault="00C204A9" w:rsidP="00C204A9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C204A9" w:rsidRDefault="00C204A9" w:rsidP="00C204A9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Vanskeligere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fylle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feil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tilsetningsstoff</w:t>
      </w:r>
      <w:proofErr w:type="spellEnd"/>
    </w:p>
    <w:p w:rsidR="00C204A9" w:rsidRDefault="00C204A9" w:rsidP="00C204A9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C204A9" w:rsidRDefault="00C204A9" w:rsidP="00C204A9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tilsetningsstoff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å ta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medisin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Derfor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gjør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sikre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bilførere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alltid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velger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riktig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Den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helletuten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drivstoff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hindrer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at man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middel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henholdsvis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diesel-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eller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bensintank</w:t>
      </w:r>
      <w:proofErr w:type="spellEnd"/>
      <w:r>
        <w:rPr>
          <w:rFonts w:asciiTheme="minorBidi" w:hAnsiTheme="minorBidi" w:cstheme="minorBidi"/>
          <w:b/>
          <w:bCs/>
          <w:lang w:val="en"/>
        </w:rPr>
        <w:t>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gir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ekstra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beskyttelse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slurv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lett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bli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dyrt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";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forklarer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forskning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utvikling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additivspesialisten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C204A9" w:rsidRDefault="00C204A9" w:rsidP="00C204A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Moderne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utrolig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effektive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Prisen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effektiviteten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at de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ømfintlige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Dersom</w:t>
      </w:r>
      <w:proofErr w:type="spell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velger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tilsetningsstoff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diesel-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bensinmotor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svært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alvorlig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bruker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funksjon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sine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mange </w:t>
      </w:r>
      <w:proofErr w:type="spellStart"/>
      <w:r>
        <w:rPr>
          <w:rFonts w:asciiTheme="minorBidi" w:hAnsiTheme="minorBidi" w:cstheme="minorBidi"/>
          <w:lang w:val="en"/>
        </w:rPr>
        <w:t>bilprodusenter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bygd</w:t>
      </w:r>
      <w:proofErr w:type="spellEnd"/>
      <w:r>
        <w:rPr>
          <w:rFonts w:asciiTheme="minorBidi" w:hAnsiTheme="minorBidi" w:cstheme="minorBidi"/>
          <w:lang w:val="en"/>
        </w:rPr>
        <w:t xml:space="preserve"> inn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sine </w:t>
      </w:r>
      <w:proofErr w:type="spellStart"/>
      <w:r>
        <w:rPr>
          <w:rFonts w:asciiTheme="minorBidi" w:hAnsiTheme="minorBidi" w:cstheme="minorBidi"/>
          <w:lang w:val="en"/>
        </w:rPr>
        <w:t>modeller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klaff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tankåpningen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bare </w:t>
      </w:r>
      <w:proofErr w:type="spellStart"/>
      <w:r>
        <w:rPr>
          <w:rFonts w:asciiTheme="minorBidi" w:hAnsiTheme="minorBidi" w:cstheme="minorBidi"/>
          <w:lang w:val="en"/>
        </w:rPr>
        <w:t>åpnes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rør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riktig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størrelse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føres</w:t>
      </w:r>
      <w:proofErr w:type="spellEnd"/>
      <w:r>
        <w:rPr>
          <w:rFonts w:asciiTheme="minorBidi" w:hAnsiTheme="minorBidi" w:cstheme="minorBidi"/>
          <w:lang w:val="en"/>
        </w:rPr>
        <w:t xml:space="preserve"> inn. </w:t>
      </w:r>
    </w:p>
    <w:p w:rsidR="00C204A9" w:rsidRDefault="00C204A9" w:rsidP="00C204A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Derfor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helletuten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nå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ulik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dimensjon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Helletuten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at den </w:t>
      </w:r>
      <w:proofErr w:type="spellStart"/>
      <w:r>
        <w:rPr>
          <w:rFonts w:asciiTheme="minorBidi" w:hAnsiTheme="minorBidi" w:cstheme="minorBidi"/>
          <w:lang w:val="en"/>
        </w:rPr>
        <w:t>åpner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beskyttelsesklaffen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dieseltanken</w:t>
      </w:r>
      <w:proofErr w:type="spellEnd"/>
      <w:r>
        <w:rPr>
          <w:rFonts w:asciiTheme="minorBidi" w:hAnsiTheme="minorBidi" w:cstheme="minorBidi"/>
          <w:lang w:val="en"/>
        </w:rPr>
        <w:t xml:space="preserve"> – men </w:t>
      </w:r>
      <w:proofErr w:type="spellStart"/>
      <w:r>
        <w:rPr>
          <w:rFonts w:asciiTheme="minorBidi" w:hAnsiTheme="minorBidi" w:cstheme="minorBidi"/>
          <w:lang w:val="en"/>
        </w:rPr>
        <w:t>samtidig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åpningen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bensintank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Omvendt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dieseltanken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lukket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dersom</w:t>
      </w:r>
      <w:proofErr w:type="spell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forsøker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fylle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bensinadditiv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ekstra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sikkerhet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sikrer</w:t>
      </w:r>
      <w:proofErr w:type="spellEnd"/>
      <w:r>
        <w:rPr>
          <w:rFonts w:asciiTheme="minorBidi" w:hAnsiTheme="minorBidi" w:cstheme="minorBidi"/>
          <w:lang w:val="en"/>
        </w:rPr>
        <w:t xml:space="preserve"> at man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fyller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feil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tilfeldighet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sier</w:t>
      </w:r>
      <w:proofErr w:type="spellEnd"/>
      <w:r>
        <w:rPr>
          <w:rFonts w:asciiTheme="minorBidi" w:hAnsiTheme="minorBidi" w:cstheme="minorBidi"/>
          <w:lang w:val="en"/>
        </w:rPr>
        <w:t xml:space="preserve"> David Kaiser. </w:t>
      </w:r>
    </w:p>
    <w:p w:rsidR="00C204A9" w:rsidRDefault="00C204A9" w:rsidP="00C204A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helletuten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fungerer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selvfølgelig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biler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beskyttende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klaff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tanken</w:t>
      </w:r>
      <w:proofErr w:type="spellEnd"/>
      <w:r>
        <w:rPr>
          <w:rFonts w:asciiTheme="minorBidi" w:hAnsiTheme="minorBidi" w:cstheme="minorBidi"/>
          <w:lang w:val="en"/>
        </w:rPr>
        <w:t xml:space="preserve">. LIQUI MOLYs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gradvis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gå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helletuten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periode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solgt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tilsetningsstoffer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gammel</w:t>
      </w:r>
      <w:proofErr w:type="spellEnd"/>
      <w:r>
        <w:rPr>
          <w:rFonts w:asciiTheme="minorBidi" w:hAnsiTheme="minorBidi" w:cstheme="minorBidi"/>
          <w:lang w:val="en"/>
        </w:rPr>
        <w:t xml:space="preserve"> tut om </w:t>
      </w:r>
      <w:proofErr w:type="spellStart"/>
      <w:r>
        <w:rPr>
          <w:rFonts w:asciiTheme="minorBidi" w:hAnsiTheme="minorBidi" w:cstheme="minorBidi"/>
          <w:lang w:val="en"/>
        </w:rPr>
        <w:t>hverandre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C204A9" w:rsidRDefault="00C204A9" w:rsidP="00C204A9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I </w:t>
      </w:r>
      <w:proofErr w:type="spellStart"/>
      <w:r>
        <w:rPr>
          <w:rFonts w:asciiTheme="minorBidi" w:hAnsiTheme="minorBidi" w:cstheme="minorBidi"/>
          <w:lang w:val="en"/>
        </w:rPr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sørger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fargekodingen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LIQUI MOLY for at </w:t>
      </w:r>
      <w:proofErr w:type="spellStart"/>
      <w:r>
        <w:rPr>
          <w:rFonts w:asciiTheme="minorBidi" w:hAnsiTheme="minorBidi" w:cstheme="minorBidi"/>
          <w:lang w:val="en"/>
        </w:rPr>
        <w:t>tilsetningsstoffene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holdes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hverandre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Tilsetningsstoffer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diesel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rød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kork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tilsetningsstoffer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kork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tilsetningstoffer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sort </w:t>
      </w:r>
      <w:proofErr w:type="spellStart"/>
      <w:r>
        <w:rPr>
          <w:rFonts w:asciiTheme="minorBidi" w:hAnsiTheme="minorBidi" w:cstheme="minorBidi"/>
          <w:lang w:val="en"/>
        </w:rPr>
        <w:t>kork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tilsetningsstoffer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radiatorer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kork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7A6C8E" w:rsidRDefault="007A6C8E" w:rsidP="007A6C8E">
      <w:bookmarkStart w:id="0" w:name="_GoBack"/>
      <w:bookmarkEnd w:id="0"/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B5771D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D57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5771D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A251-67EF-42EB-BF29-50D50D1F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2019-03-06T09:05:00Z</dcterms:created>
  <dcterms:modified xsi:type="dcterms:W3CDTF">2019-03-06T09:05:00Z</dcterms:modified>
</cp:coreProperties>
</file>