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Rekordomsetning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for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til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tross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for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slakkere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vekst</w:t>
      </w:r>
      <w:proofErr w:type="spellEnd"/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Handelskonflikter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kombinert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med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svak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høy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råoljepris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bremser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eksperten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olje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additiver</w:t>
      </w:r>
      <w:proofErr w:type="spellEnd"/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Desember</w:t>
      </w:r>
      <w:proofErr w:type="spellEnd"/>
      <w:r>
        <w:rPr>
          <w:rFonts w:ascii="Arial" w:hAnsi="Arial" w:cs="Arial"/>
          <w:b/>
          <w:bCs/>
          <w:lang w:val="en"/>
        </w:rPr>
        <w:t xml:space="preserve"> 2018 – LIQUI MOLY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kan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også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sitt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Würth-gruppen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skilte</w:t>
      </w:r>
      <w:proofErr w:type="spellEnd"/>
      <w:r>
        <w:rPr>
          <w:rFonts w:ascii="Arial" w:hAnsi="Arial" w:cs="Arial"/>
          <w:b/>
          <w:bCs/>
          <w:lang w:val="en"/>
        </w:rPr>
        <w:t xml:space="preserve"> med </w:t>
      </w:r>
      <w:proofErr w:type="spellStart"/>
      <w:r>
        <w:rPr>
          <w:rFonts w:ascii="Arial" w:hAnsi="Arial" w:cs="Arial"/>
          <w:b/>
          <w:bCs/>
          <w:lang w:val="en"/>
        </w:rPr>
        <w:t>ny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omsetningsrekord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Vekstkurven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imidlertid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flatet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noe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ut.</w:t>
      </w:r>
      <w:proofErr w:type="spellEnd"/>
      <w:r>
        <w:rPr>
          <w:rFonts w:ascii="Arial" w:hAnsi="Arial" w:cs="Arial"/>
          <w:b/>
          <w:bCs/>
          <w:lang w:val="en"/>
        </w:rPr>
        <w:t xml:space="preserve"> Med 544 </w:t>
      </w:r>
      <w:proofErr w:type="spellStart"/>
      <w:r>
        <w:rPr>
          <w:rFonts w:ascii="Arial" w:hAnsi="Arial" w:cs="Arial"/>
          <w:b/>
          <w:bCs/>
          <w:lang w:val="en"/>
        </w:rPr>
        <w:t>millioner</w:t>
      </w:r>
      <w:proofErr w:type="spellEnd"/>
      <w:r>
        <w:rPr>
          <w:rFonts w:ascii="Arial" w:hAnsi="Arial" w:cs="Arial"/>
          <w:b/>
          <w:bCs/>
          <w:lang w:val="en"/>
        </w:rPr>
        <w:t xml:space="preserve"> euro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2018 </w:t>
      </w:r>
      <w:proofErr w:type="spellStart"/>
      <w:r>
        <w:rPr>
          <w:rFonts w:ascii="Arial" w:hAnsi="Arial" w:cs="Arial"/>
          <w:b/>
          <w:bCs/>
          <w:lang w:val="en"/>
        </w:rPr>
        <w:t>tjente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eksperten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additiver</w:t>
      </w:r>
      <w:proofErr w:type="spellEnd"/>
      <w:r>
        <w:rPr>
          <w:rFonts w:ascii="Arial" w:hAnsi="Arial" w:cs="Arial"/>
          <w:b/>
          <w:bCs/>
          <w:lang w:val="en"/>
        </w:rPr>
        <w:t xml:space="preserve"> kun to </w:t>
      </w:r>
      <w:proofErr w:type="spellStart"/>
      <w:r>
        <w:rPr>
          <w:rFonts w:ascii="Arial" w:hAnsi="Arial" w:cs="Arial"/>
          <w:b/>
          <w:bCs/>
          <w:lang w:val="en"/>
        </w:rPr>
        <w:t>prosent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fjor</w:t>
      </w:r>
      <w:proofErr w:type="spellEnd"/>
      <w:r>
        <w:rPr>
          <w:rFonts w:ascii="Arial" w:hAnsi="Arial" w:cs="Arial"/>
          <w:b/>
          <w:bCs/>
          <w:lang w:val="en"/>
        </w:rPr>
        <w:t>. «</w:t>
      </w:r>
      <w:proofErr w:type="spellStart"/>
      <w:r>
        <w:rPr>
          <w:rFonts w:ascii="Arial" w:hAnsi="Arial" w:cs="Arial"/>
          <w:b/>
          <w:bCs/>
          <w:lang w:val="en"/>
        </w:rPr>
        <w:t>Internasjonale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handelskonflikter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varm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sommer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økte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kostnader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gjennom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blant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annet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dramatisk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høyere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råoljepriser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svekket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omsetningen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avkastningen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betraktelig</w:t>
      </w:r>
      <w:proofErr w:type="spellEnd"/>
      <w:r>
        <w:rPr>
          <w:rFonts w:ascii="Arial" w:hAnsi="Arial" w:cs="Arial"/>
          <w:b/>
          <w:bCs/>
          <w:lang w:val="en"/>
        </w:rPr>
        <w:t xml:space="preserve">», </w:t>
      </w:r>
      <w:proofErr w:type="spellStart"/>
      <w:r>
        <w:rPr>
          <w:rFonts w:ascii="Arial" w:hAnsi="Arial" w:cs="Arial"/>
          <w:b/>
          <w:bCs/>
          <w:lang w:val="en"/>
        </w:rPr>
        <w:t>påpeker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administrerende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direktør</w:t>
      </w:r>
      <w:proofErr w:type="spellEnd"/>
      <w:r>
        <w:rPr>
          <w:rFonts w:ascii="Arial" w:hAnsi="Arial" w:cs="Arial"/>
          <w:b/>
          <w:bCs/>
          <w:lang w:val="en"/>
        </w:rPr>
        <w:t xml:space="preserve"> hos LIQUI MOLY, Ernst Prost.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Mens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vekstrater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moderat</w:t>
      </w:r>
      <w:proofErr w:type="spellEnd"/>
      <w:r>
        <w:rPr>
          <w:rFonts w:ascii="Arial" w:hAnsi="Arial" w:cs="Arial"/>
          <w:lang w:val="en"/>
        </w:rPr>
        <w:t xml:space="preserve"> – med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unntak</w:t>
      </w:r>
      <w:proofErr w:type="spellEnd"/>
      <w:r>
        <w:rPr>
          <w:rFonts w:ascii="Arial" w:hAnsi="Arial" w:cs="Arial"/>
          <w:lang w:val="en"/>
        </w:rPr>
        <w:t xml:space="preserve">: Med </w:t>
      </w:r>
      <w:proofErr w:type="spellStart"/>
      <w:r>
        <w:rPr>
          <w:rFonts w:ascii="Arial" w:hAnsi="Arial" w:cs="Arial"/>
          <w:lang w:val="en"/>
        </w:rPr>
        <w:t>nesten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34 %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oktober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innbringende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måneden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selskapets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enn</w:t>
      </w:r>
      <w:proofErr w:type="spellEnd"/>
      <w:r>
        <w:rPr>
          <w:rFonts w:ascii="Arial" w:hAnsi="Arial" w:cs="Arial"/>
          <w:lang w:val="en"/>
        </w:rPr>
        <w:t xml:space="preserve"> 60-årige </w:t>
      </w:r>
      <w:proofErr w:type="spellStart"/>
      <w:r>
        <w:rPr>
          <w:rFonts w:ascii="Arial" w:hAnsi="Arial" w:cs="Arial"/>
          <w:lang w:val="en"/>
        </w:rPr>
        <w:t>historie</w:t>
      </w:r>
      <w:proofErr w:type="spellEnd"/>
      <w:r>
        <w:rPr>
          <w:rFonts w:ascii="Arial" w:hAnsi="Arial" w:cs="Arial"/>
          <w:lang w:val="en"/>
        </w:rPr>
        <w:t xml:space="preserve">. At </w:t>
      </w:r>
      <w:proofErr w:type="spellStart"/>
      <w:r>
        <w:rPr>
          <w:rFonts w:ascii="Arial" w:hAnsi="Arial" w:cs="Arial"/>
          <w:lang w:val="en"/>
        </w:rPr>
        <w:t>vekstkurven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tilsvarende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bratt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året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skyldes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faktorer</w:t>
      </w:r>
      <w:proofErr w:type="spellEnd"/>
      <w:r>
        <w:rPr>
          <w:rFonts w:ascii="Arial" w:hAnsi="Arial" w:cs="Arial"/>
          <w:lang w:val="en"/>
        </w:rPr>
        <w:t xml:space="preserve">: De </w:t>
      </w:r>
      <w:proofErr w:type="spellStart"/>
      <w:r>
        <w:rPr>
          <w:rFonts w:ascii="Arial" w:hAnsi="Arial" w:cs="Arial"/>
          <w:lang w:val="en"/>
        </w:rPr>
        <w:t>ulmende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handelskonfliktene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verdensbasis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ringvirkninger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for LIQUI MOLY. For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kinesiske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ned</w:t>
      </w:r>
      <w:proofErr w:type="spellEnd"/>
      <w:proofErr w:type="gramEnd"/>
      <w:r>
        <w:rPr>
          <w:rFonts w:ascii="Arial" w:hAnsi="Arial" w:cs="Arial"/>
          <w:lang w:val="en"/>
        </w:rPr>
        <w:t xml:space="preserve"> med over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tredjedel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Russland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selskapets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absolutt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eksportmarked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kraftig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reduksjon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rubelfallet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Slike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omveltninger</w:t>
      </w:r>
      <w:proofErr w:type="spellEnd"/>
      <w:r>
        <w:rPr>
          <w:rFonts w:ascii="Arial" w:hAnsi="Arial" w:cs="Arial"/>
          <w:lang w:val="en"/>
        </w:rPr>
        <w:t xml:space="preserve"> setter sine </w:t>
      </w:r>
      <w:proofErr w:type="spellStart"/>
      <w:r>
        <w:rPr>
          <w:rFonts w:ascii="Arial" w:hAnsi="Arial" w:cs="Arial"/>
          <w:lang w:val="en"/>
        </w:rPr>
        <w:t>spor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betoner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eksportansvarlig</w:t>
      </w:r>
      <w:proofErr w:type="spellEnd"/>
      <w:r>
        <w:rPr>
          <w:rFonts w:ascii="Arial" w:hAnsi="Arial" w:cs="Arial"/>
          <w:lang w:val="en"/>
        </w:rPr>
        <w:t xml:space="preserve">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Utviklingen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Kina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Russland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ville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fått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konsekvenser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hadde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vært</w:t>
      </w:r>
      <w:proofErr w:type="spellEnd"/>
      <w:r>
        <w:rPr>
          <w:rFonts w:ascii="Arial" w:hAnsi="Arial" w:cs="Arial"/>
          <w:lang w:val="en"/>
        </w:rPr>
        <w:t xml:space="preserve"> for at vi driver </w:t>
      </w:r>
      <w:proofErr w:type="spellStart"/>
      <w:r>
        <w:rPr>
          <w:rFonts w:ascii="Arial" w:hAnsi="Arial" w:cs="Arial"/>
          <w:lang w:val="en"/>
        </w:rPr>
        <w:t>virksomhet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150 land over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kompensere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omsetningstapet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hjelp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markeder</w:t>
      </w:r>
      <w:proofErr w:type="spellEnd"/>
      <w:r>
        <w:rPr>
          <w:rFonts w:ascii="Arial" w:hAnsi="Arial" w:cs="Arial"/>
          <w:lang w:val="en"/>
        </w:rPr>
        <w:t>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Den </w:t>
      </w:r>
      <w:proofErr w:type="spellStart"/>
      <w:r>
        <w:rPr>
          <w:rFonts w:ascii="Arial" w:hAnsi="Arial" w:cs="Arial"/>
          <w:lang w:val="en"/>
        </w:rPr>
        <w:t>beskjedne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konkurranseutsatte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bidro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dempe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sviktende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eksporten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Omstendighetene</w:t>
      </w:r>
      <w:proofErr w:type="spellEnd"/>
      <w:r>
        <w:rPr>
          <w:rFonts w:ascii="Arial" w:hAnsi="Arial" w:cs="Arial"/>
          <w:lang w:val="en"/>
        </w:rPr>
        <w:t xml:space="preserve"> tatt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betraktning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r>
        <w:rPr>
          <w:rFonts w:ascii="Arial" w:hAnsi="Arial" w:cs="Arial"/>
          <w:lang w:val="en"/>
        </w:rPr>
        <w:t>prosent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Østerrike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respekt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understreker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. «Kaka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like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få</w:t>
      </w:r>
      <w:proofErr w:type="spellEnd"/>
      <w:r>
        <w:rPr>
          <w:rFonts w:ascii="Arial" w:hAnsi="Arial" w:cs="Arial"/>
          <w:lang w:val="en"/>
        </w:rPr>
        <w:t xml:space="preserve"> sin del. </w:t>
      </w:r>
      <w:proofErr w:type="spellStart"/>
      <w:r>
        <w:rPr>
          <w:rFonts w:ascii="Arial" w:hAnsi="Arial" w:cs="Arial"/>
          <w:lang w:val="en"/>
        </w:rPr>
        <w:t>Konkurransen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knallhard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Strategien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fortsatt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kombinasjon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markedsføringspakker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salgskraft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Samtidig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omsetningskurven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flatet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gikk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værs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investeringene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lagerstyringskonsepter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ny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programvare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ytterligere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tanklager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merkostnader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råstoffpriser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værproblemer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langvarig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sommer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skipstrafikken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Rhinen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begrenset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innstilt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fordyret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transporten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råstoffer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ferdigvarer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Kostnadene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våre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frakt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økte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rundt</w:t>
      </w:r>
      <w:proofErr w:type="spellEnd"/>
      <w:r>
        <w:rPr>
          <w:rFonts w:ascii="Arial" w:hAnsi="Arial" w:cs="Arial"/>
          <w:lang w:val="en"/>
        </w:rPr>
        <w:t xml:space="preserve">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 </w:t>
      </w:r>
      <w:proofErr w:type="spellStart"/>
      <w:r>
        <w:rPr>
          <w:rFonts w:ascii="Arial" w:hAnsi="Arial" w:cs="Arial"/>
          <w:lang w:val="en"/>
        </w:rPr>
        <w:t>totalt</w:t>
      </w:r>
      <w:proofErr w:type="spellEnd"/>
      <w:r>
        <w:rPr>
          <w:rFonts w:ascii="Arial" w:hAnsi="Arial" w:cs="Arial"/>
          <w:lang w:val="en"/>
        </w:rPr>
        <w:t xml:space="preserve">. Alt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alt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kalddusj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Gjennom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kostnader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rammes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dobbelt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overskuddet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lidende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livet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ellers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enten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tilpasser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seg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proofErr w:type="gramStart"/>
      <w:r>
        <w:rPr>
          <w:rFonts w:ascii="Arial" w:hAnsi="Arial" w:cs="Arial"/>
          <w:lang w:val="en"/>
        </w:rPr>
        <w:t>ute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dansen</w:t>
      </w:r>
      <w:proofErr w:type="spellEnd"/>
      <w:r>
        <w:rPr>
          <w:rFonts w:ascii="Arial" w:hAnsi="Arial" w:cs="Arial"/>
          <w:lang w:val="en"/>
        </w:rPr>
        <w:t xml:space="preserve">. Ingen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like»,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utleggene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markedsføring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høyere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planen</w:t>
      </w:r>
      <w:proofErr w:type="spellEnd"/>
      <w:r>
        <w:rPr>
          <w:rFonts w:ascii="Arial" w:hAnsi="Arial" w:cs="Arial"/>
          <w:lang w:val="en"/>
        </w:rPr>
        <w:t xml:space="preserve">. I 2017 </w:t>
      </w:r>
      <w:proofErr w:type="spellStart"/>
      <w:r>
        <w:rPr>
          <w:rFonts w:ascii="Arial" w:hAnsi="Arial" w:cs="Arial"/>
          <w:lang w:val="en"/>
        </w:rPr>
        <w:t>investerte</w:t>
      </w:r>
      <w:proofErr w:type="spellEnd"/>
      <w:r>
        <w:rPr>
          <w:rFonts w:ascii="Arial" w:hAnsi="Arial" w:cs="Arial"/>
          <w:lang w:val="en"/>
        </w:rPr>
        <w:t xml:space="preserve"> LIQUI MOLY 19</w:t>
      </w:r>
      <w:proofErr w:type="gramStart"/>
      <w:r>
        <w:rPr>
          <w:rFonts w:ascii="Arial" w:hAnsi="Arial" w:cs="Arial"/>
          <w:lang w:val="en"/>
        </w:rPr>
        <w:t>,8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merkevarebevissthet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2018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budsjettet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nesten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én</w:t>
      </w:r>
      <w:proofErr w:type="spellEnd"/>
      <w:r>
        <w:rPr>
          <w:rFonts w:ascii="Arial" w:hAnsi="Arial" w:cs="Arial"/>
          <w:lang w:val="en"/>
        </w:rPr>
        <w:t xml:space="preserve"> million euro. «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kuppet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utvilsomt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reklameavtalen</w:t>
      </w:r>
      <w:proofErr w:type="spellEnd"/>
      <w:r>
        <w:rPr>
          <w:rFonts w:ascii="Arial" w:hAnsi="Arial" w:cs="Arial"/>
          <w:lang w:val="en"/>
        </w:rPr>
        <w:t xml:space="preserve"> med Chicago Bulls.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basketballaget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kjente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sportsmerker</w:t>
      </w:r>
      <w:proofErr w:type="spellEnd"/>
      <w:r>
        <w:rPr>
          <w:rFonts w:ascii="Arial" w:hAnsi="Arial" w:cs="Arial"/>
          <w:lang w:val="en"/>
        </w:rPr>
        <w:t xml:space="preserve">. Med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fanskare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USAs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profflag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markedsføringssjef</w:t>
      </w:r>
      <w:proofErr w:type="spellEnd"/>
      <w:r>
        <w:rPr>
          <w:rFonts w:ascii="Arial" w:hAnsi="Arial" w:cs="Arial"/>
          <w:lang w:val="en"/>
        </w:rPr>
        <w:t xml:space="preserve"> Peter Baumann for å </w:t>
      </w:r>
      <w:proofErr w:type="spellStart"/>
      <w:r>
        <w:rPr>
          <w:rFonts w:ascii="Arial" w:hAnsi="Arial" w:cs="Arial"/>
          <w:lang w:val="en"/>
        </w:rPr>
        <w:t>illustrere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internasjonale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tiltak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selskapet</w:t>
      </w:r>
      <w:proofErr w:type="spellEnd"/>
      <w:r>
        <w:rPr>
          <w:rFonts w:ascii="Arial" w:hAnsi="Arial" w:cs="Arial"/>
          <w:lang w:val="en"/>
        </w:rPr>
        <w:t>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For å </w:t>
      </w:r>
      <w:proofErr w:type="spellStart"/>
      <w:r>
        <w:rPr>
          <w:rFonts w:ascii="Arial" w:hAnsi="Arial" w:cs="Arial"/>
          <w:lang w:val="en"/>
        </w:rPr>
        <w:t>sikre</w:t>
      </w:r>
      <w:proofErr w:type="spellEnd"/>
      <w:r>
        <w:rPr>
          <w:rFonts w:ascii="Arial" w:hAnsi="Arial" w:cs="Arial"/>
          <w:lang w:val="en"/>
        </w:rPr>
        <w:t xml:space="preserve"> at LIQUI MOLY </w:t>
      </w:r>
      <w:proofErr w:type="spellStart"/>
      <w:r>
        <w:rPr>
          <w:rFonts w:ascii="Arial" w:hAnsi="Arial" w:cs="Arial"/>
          <w:lang w:val="en"/>
        </w:rPr>
        <w:t>fortsetter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innfri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forventningene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prima </w:t>
      </w:r>
      <w:proofErr w:type="spellStart"/>
      <w:r>
        <w:rPr>
          <w:rFonts w:ascii="Arial" w:hAnsi="Arial" w:cs="Arial"/>
          <w:lang w:val="en"/>
        </w:rPr>
        <w:t>tysk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nasjonalt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internasjonalt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budsjettet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nesten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euro. «</w:t>
      </w:r>
      <w:proofErr w:type="spellStart"/>
      <w:r>
        <w:rPr>
          <w:rFonts w:ascii="Arial" w:hAnsi="Arial" w:cs="Arial"/>
          <w:lang w:val="en"/>
        </w:rPr>
        <w:t>Moderne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komplekse</w:t>
      </w:r>
      <w:proofErr w:type="spellEnd"/>
      <w:r>
        <w:rPr>
          <w:rFonts w:ascii="Arial" w:hAnsi="Arial" w:cs="Arial"/>
          <w:lang w:val="en"/>
        </w:rPr>
        <w:t xml:space="preserve">. For å </w:t>
      </w:r>
      <w:proofErr w:type="spellStart"/>
      <w:r>
        <w:rPr>
          <w:rFonts w:ascii="Arial" w:hAnsi="Arial" w:cs="Arial"/>
          <w:lang w:val="en"/>
        </w:rPr>
        <w:t>bli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markedsledende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</w:t>
      </w:r>
      <w:proofErr w:type="spellEnd"/>
      <w:r>
        <w:rPr>
          <w:rFonts w:ascii="Arial" w:hAnsi="Arial" w:cs="Arial"/>
          <w:lang w:val="en"/>
        </w:rPr>
        <w:t xml:space="preserve"> man ha </w:t>
      </w:r>
      <w:proofErr w:type="spellStart"/>
      <w:r>
        <w:rPr>
          <w:rFonts w:ascii="Arial" w:hAnsi="Arial" w:cs="Arial"/>
          <w:lang w:val="en"/>
        </w:rPr>
        <w:t>topp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teknologi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kvalitetskontroller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ansvarlig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applikasjonsteknikk</w:t>
      </w:r>
      <w:proofErr w:type="spellEnd"/>
      <w:r>
        <w:rPr>
          <w:rFonts w:ascii="Arial" w:hAnsi="Arial" w:cs="Arial"/>
          <w:lang w:val="en"/>
        </w:rPr>
        <w:t>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skapte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merkostnader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medarbeiderne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partnerne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våre</w:t>
      </w:r>
      <w:proofErr w:type="spellEnd"/>
      <w:r>
        <w:rPr>
          <w:rFonts w:ascii="Arial" w:hAnsi="Arial" w:cs="Arial"/>
          <w:lang w:val="en"/>
        </w:rPr>
        <w:t xml:space="preserve">. I 2018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opprettet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stillinger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848 </w:t>
      </w:r>
      <w:proofErr w:type="spellStart"/>
      <w:r>
        <w:rPr>
          <w:rFonts w:ascii="Arial" w:hAnsi="Arial" w:cs="Arial"/>
          <w:lang w:val="en"/>
        </w:rPr>
        <w:t>personer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jobber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avdelingene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utenlandsavdelingene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glede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skape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arbeidsplasser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merkostnadene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én</w:t>
      </w:r>
      <w:proofErr w:type="spellEnd"/>
      <w:r>
        <w:rPr>
          <w:rFonts w:ascii="Arial" w:hAnsi="Arial" w:cs="Arial"/>
          <w:lang w:val="en"/>
        </w:rPr>
        <w:t xml:space="preserve"> million for den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tariffavtalen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fagforeningen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bergverksdrift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kjemi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energi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betaler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gladelig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folkene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LIQUI MOLY-</w:t>
      </w:r>
      <w:proofErr w:type="spellStart"/>
      <w:r>
        <w:rPr>
          <w:rFonts w:ascii="Arial" w:hAnsi="Arial" w:cs="Arial"/>
          <w:lang w:val="en"/>
        </w:rPr>
        <w:t>familien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redelig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verdt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understreker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C207EA" w:rsidRDefault="00C207EA" w:rsidP="00C207E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Da den </w:t>
      </w:r>
      <w:proofErr w:type="spellStart"/>
      <w:r>
        <w:rPr>
          <w:rFonts w:ascii="Arial" w:hAnsi="Arial" w:cs="Arial"/>
          <w:lang w:val="en"/>
        </w:rPr>
        <w:t>tidligere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årsskiftet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solgte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andelene</w:t>
      </w:r>
      <w:proofErr w:type="spellEnd"/>
      <w:r>
        <w:rPr>
          <w:rFonts w:ascii="Arial" w:hAnsi="Arial" w:cs="Arial"/>
          <w:lang w:val="en"/>
        </w:rPr>
        <w:t xml:space="preserve"> sine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Würth-gruppen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fryktet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radikale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omveltninger</w:t>
      </w:r>
      <w:proofErr w:type="spellEnd"/>
      <w:r>
        <w:rPr>
          <w:rFonts w:ascii="Arial" w:hAnsi="Arial" w:cs="Arial"/>
          <w:lang w:val="en"/>
        </w:rPr>
        <w:t xml:space="preserve"> for den </w:t>
      </w:r>
      <w:proofErr w:type="spellStart"/>
      <w:r>
        <w:rPr>
          <w:rFonts w:ascii="Arial" w:hAnsi="Arial" w:cs="Arial"/>
          <w:lang w:val="en"/>
        </w:rPr>
        <w:t>tyske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spesialisten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additiver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imot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Ernst Prost. «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visittkortet</w:t>
      </w:r>
      <w:proofErr w:type="spellEnd"/>
      <w:r>
        <w:rPr>
          <w:rFonts w:ascii="Arial" w:hAnsi="Arial" w:cs="Arial"/>
          <w:lang w:val="en"/>
        </w:rPr>
        <w:t xml:space="preserve"> mitt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riktignok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aksjonær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salgssjefen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gjennom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,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rykket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viseadministrerende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ellers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alt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gamle</w:t>
      </w:r>
      <w:proofErr w:type="spellEnd"/>
      <w:r>
        <w:rPr>
          <w:rFonts w:ascii="Arial" w:hAnsi="Arial" w:cs="Arial"/>
          <w:lang w:val="en"/>
        </w:rPr>
        <w:t>.»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D33AA9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73CFC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3AA9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855B-CBBA-4FB9-B451-50DD28BB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2018-12-21T09:59:00Z</dcterms:created>
  <dcterms:modified xsi:type="dcterms:W3CDTF">2018-12-21T09:59:00Z</dcterms:modified>
</cp:coreProperties>
</file>