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F2579E" w:rsidRDefault="00F2579E" w:rsidP="00F2579E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nb"/>
        </w:rPr>
        <w:t>Rekordmåned for LIQUI MOLY</w:t>
      </w:r>
    </w:p>
    <w:p w:rsidR="00F2579E" w:rsidRDefault="00F2579E" w:rsidP="00F2579E">
      <w:pPr>
        <w:spacing w:line="360" w:lineRule="auto"/>
        <w:ind w:right="1842"/>
        <w:jc w:val="both"/>
        <w:rPr>
          <w:rFonts w:ascii="Arial" w:hAnsi="Arial" w:cs="Arial"/>
        </w:rPr>
      </w:pPr>
    </w:p>
    <w:p w:rsidR="00F2579E" w:rsidRDefault="00F2579E" w:rsidP="00F2579E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"/>
        </w:rPr>
        <w:t>Omsetningen til den tyske spesialisten på olje og tilsetningsstoffer steg i mars til 49 millioner euro</w:t>
      </w:r>
    </w:p>
    <w:p w:rsidR="00F2579E" w:rsidRDefault="00F2579E" w:rsidP="00F2579E">
      <w:pPr>
        <w:spacing w:line="360" w:lineRule="auto"/>
        <w:ind w:right="1842"/>
        <w:jc w:val="both"/>
        <w:rPr>
          <w:rFonts w:ascii="Arial" w:hAnsi="Arial" w:cs="Arial"/>
        </w:rPr>
      </w:pPr>
    </w:p>
    <w:p w:rsidR="00F2579E" w:rsidRDefault="00F2579E" w:rsidP="00F2579E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nb"/>
        </w:rPr>
        <w:t>April 2017 – Strålende resultater for LIQUI MOLY.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Den tyske spesialisten på olje og tilsetningsstoffer hadde i mars den høyeste månedsomsetningen i selskapets historie: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49,2 millioner euro.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«Dermed har vi fått en fantastisk start på 2017», sier Ernst Prost, administrerende direktør hos LIQUI MOLY.</w:t>
      </w:r>
      <w:r>
        <w:rPr>
          <w:rFonts w:ascii="Arial" w:hAnsi="Arial" w:cs="Arial"/>
          <w:lang w:val="nb"/>
        </w:rPr>
        <w:t xml:space="preserve"> </w:t>
      </w:r>
    </w:p>
    <w:p w:rsidR="00F2579E" w:rsidRDefault="00F2579E" w:rsidP="00F2579E">
      <w:pPr>
        <w:spacing w:line="360" w:lineRule="auto"/>
        <w:ind w:right="1842"/>
        <w:jc w:val="both"/>
        <w:rPr>
          <w:rFonts w:ascii="Arial" w:hAnsi="Arial" w:cs="Arial"/>
        </w:rPr>
      </w:pPr>
    </w:p>
    <w:p w:rsidR="00F2579E" w:rsidRDefault="00F2579E" w:rsidP="00F2579E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 xml:space="preserve">Det er ikke lenge siden forrige rekordmåned. Senest i november i fjor noterte LIQUI MOLY en ny toppverdi med 45,5 millioner euro. Mars slår den gamle rekorden med 8 prosent. Den positive trenden er kjennetegnende for hele kvartalet. Med en omsetning på 126,1 millioner euro og 11 % vekst i forhold til de første tre månedene i fjor, hadde selskapet sitt beste kvartal noensinne. </w:t>
      </w:r>
    </w:p>
    <w:p w:rsidR="00F2579E" w:rsidRDefault="00F2579E" w:rsidP="00F2579E">
      <w:pPr>
        <w:spacing w:line="360" w:lineRule="auto"/>
        <w:ind w:right="1842"/>
        <w:jc w:val="both"/>
        <w:rPr>
          <w:rFonts w:ascii="Arial" w:hAnsi="Arial" w:cs="Arial"/>
        </w:rPr>
      </w:pPr>
    </w:p>
    <w:p w:rsidR="00F2579E" w:rsidRDefault="00F2579E" w:rsidP="00F2579E">
      <w:pPr>
        <w:spacing w:line="360" w:lineRule="auto"/>
        <w:ind w:right="1842"/>
        <w:jc w:val="both"/>
      </w:pPr>
      <w:r>
        <w:rPr>
          <w:rFonts w:ascii="Arial" w:hAnsi="Arial" w:cs="Arial"/>
          <w:lang w:val="nb"/>
        </w:rPr>
        <w:t>LIQUI MOLY har hatt en stigende vekstkurve i mange år. Siden 2009 har omsetningen mer enn fordoblet seg. For Ernst Prost er det ingen selvfølge: «Suksess er ikke noe som går av seg selv, men noe man må kjempe for hver eneste dag. Det verste vi kan gjøre er å hvile på laurbærene.»</w:t>
      </w:r>
    </w:p>
    <w:p w:rsidR="00194C96" w:rsidRDefault="00194C96" w:rsidP="00194C96">
      <w:bookmarkStart w:id="0" w:name="_GoBack"/>
      <w:bookmarkEnd w:id="0"/>
    </w:p>
    <w:p w:rsidR="009D03A5" w:rsidRDefault="009D03A5" w:rsidP="009D03A5"/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</w:t>
      </w:r>
      <w:r>
        <w:rPr>
          <w:rFonts w:asciiTheme="minorBidi" w:hAnsiTheme="minorBidi" w:cstheme="minorBidi"/>
          <w:lang w:val="nb"/>
        </w:rPr>
        <w:lastRenderedPageBreak/>
        <w:t>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EB0"/>
    <w:rsid w:val="00257734"/>
    <w:rsid w:val="002607A8"/>
    <w:rsid w:val="0026758A"/>
    <w:rsid w:val="00275FCB"/>
    <w:rsid w:val="0029072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300F-EF36-497E-B272-6C37C9AB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2017-04-10T09:19:00Z</dcterms:created>
  <dcterms:modified xsi:type="dcterms:W3CDTF">2017-04-10T09:19:00Z</dcterms:modified>
</cp:coreProperties>
</file>