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B5" w:rsidRDefault="00EB32B5" w:rsidP="00EB32B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 avec de nouveaux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becs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verseurs</w:t>
      </w:r>
      <w:proofErr w:type="spellEnd"/>
    </w:p>
    <w:p w:rsidR="00EB32B5" w:rsidRDefault="00EB32B5" w:rsidP="00EB32B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EB32B5" w:rsidRDefault="00EB32B5" w:rsidP="00EB32B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protection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supérieure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contre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l'utilisation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mauvais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additif</w:t>
      </w:r>
      <w:proofErr w:type="spellEnd"/>
    </w:p>
    <w:p w:rsidR="00EB32B5" w:rsidRDefault="00EB32B5" w:rsidP="00EB32B5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EB32B5" w:rsidRDefault="00EB32B5" w:rsidP="00EB32B5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inapproprié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c'est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donner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mauvais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médicament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C'est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pourquoi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introduit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dispositif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sécurité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supplémentaire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s'assurer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utilisent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toujours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l'additif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adéquat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Les nouveaux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becs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verseurs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carburant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empêchent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l'utilisation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accidentelle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essence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réservoir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ainsi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l'utilisation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diesel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réservoir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essence. « 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s'agit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d'une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protection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supplémentaire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erreurs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d'inattention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conséquences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coûteuses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explique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responsable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recherche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développement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chez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EB32B5" w:rsidRDefault="00EB32B5" w:rsidP="00EB32B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Les </w:t>
      </w:r>
      <w:proofErr w:type="spellStart"/>
      <w:r>
        <w:rPr>
          <w:rFonts w:asciiTheme="minorBidi" w:hAnsiTheme="minorBidi" w:cstheme="minorBidi"/>
          <w:lang w:val="en"/>
        </w:rPr>
        <w:t>moteurs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modernes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extrêmement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efficaces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sensibilité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cependant</w:t>
      </w:r>
      <w:proofErr w:type="spellEnd"/>
      <w:r>
        <w:rPr>
          <w:rFonts w:asciiTheme="minorBidi" w:hAnsiTheme="minorBidi" w:cstheme="minorBidi"/>
          <w:lang w:val="en"/>
        </w:rPr>
        <w:t xml:space="preserve"> le prix à payer. </w:t>
      </w:r>
      <w:proofErr w:type="spellStart"/>
      <w:r>
        <w:rPr>
          <w:rFonts w:asciiTheme="minorBidi" w:hAnsiTheme="minorBidi" w:cstheme="minorBidi"/>
          <w:lang w:val="en"/>
        </w:rPr>
        <w:t>L'utilisation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pour diesel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essence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pour essence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peut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avoir</w:t>
      </w:r>
      <w:proofErr w:type="spellEnd"/>
      <w:r>
        <w:rPr>
          <w:rFonts w:asciiTheme="minorBidi" w:hAnsiTheme="minorBidi" w:cstheme="minorBidi"/>
          <w:lang w:val="en"/>
        </w:rPr>
        <w:t xml:space="preserve"> de graves </w:t>
      </w:r>
      <w:proofErr w:type="spellStart"/>
      <w:r>
        <w:rPr>
          <w:rFonts w:asciiTheme="minorBidi" w:hAnsiTheme="minorBidi" w:cstheme="minorBidi"/>
          <w:lang w:val="en"/>
        </w:rPr>
        <w:t>conséquences</w:t>
      </w:r>
      <w:proofErr w:type="spellEnd"/>
      <w:r>
        <w:rPr>
          <w:rFonts w:asciiTheme="minorBidi" w:hAnsiTheme="minorBidi" w:cstheme="minorBidi"/>
          <w:lang w:val="en"/>
        </w:rPr>
        <w:t xml:space="preserve">. Pour </w:t>
      </w:r>
      <w:proofErr w:type="spellStart"/>
      <w:r>
        <w:rPr>
          <w:rFonts w:asciiTheme="minorBidi" w:hAnsiTheme="minorBidi" w:cstheme="minorBidi"/>
          <w:lang w:val="en"/>
        </w:rPr>
        <w:t>ses</w:t>
      </w:r>
      <w:proofErr w:type="spellEnd"/>
      <w:r>
        <w:rPr>
          <w:rFonts w:asciiTheme="minorBidi" w:hAnsiTheme="minorBidi" w:cstheme="minorBidi"/>
          <w:lang w:val="en"/>
        </w:rPr>
        <w:t xml:space="preserve"> nouveaux </w:t>
      </w:r>
      <w:proofErr w:type="spellStart"/>
      <w:r>
        <w:rPr>
          <w:rFonts w:asciiTheme="minorBidi" w:hAnsiTheme="minorBidi" w:cstheme="minorBidi"/>
          <w:lang w:val="en"/>
        </w:rPr>
        <w:t>becs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verseurs</w:t>
      </w:r>
      <w:proofErr w:type="spellEnd"/>
      <w:r>
        <w:rPr>
          <w:rFonts w:asciiTheme="minorBidi" w:hAnsiTheme="minorBidi" w:cstheme="minorBidi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lang w:val="en"/>
        </w:rPr>
        <w:t>utilise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mécanisme</w:t>
      </w:r>
      <w:proofErr w:type="spellEnd"/>
      <w:r>
        <w:rPr>
          <w:rFonts w:asciiTheme="minorBidi" w:hAnsiTheme="minorBidi" w:cstheme="minorBidi"/>
          <w:lang w:val="en"/>
        </w:rPr>
        <w:t xml:space="preserve"> de protection </w:t>
      </w:r>
      <w:proofErr w:type="spellStart"/>
      <w:r>
        <w:rPr>
          <w:rFonts w:asciiTheme="minorBidi" w:hAnsiTheme="minorBidi" w:cstheme="minorBidi"/>
          <w:lang w:val="en"/>
        </w:rPr>
        <w:t>installé</w:t>
      </w:r>
      <w:proofErr w:type="spellEnd"/>
      <w:r>
        <w:rPr>
          <w:rFonts w:asciiTheme="minorBidi" w:hAnsiTheme="minorBidi" w:cstheme="minorBidi"/>
          <w:lang w:val="en"/>
        </w:rPr>
        <w:t xml:space="preserve"> par de </w:t>
      </w:r>
      <w:proofErr w:type="spellStart"/>
      <w:r>
        <w:rPr>
          <w:rFonts w:asciiTheme="minorBidi" w:hAnsiTheme="minorBidi" w:cstheme="minorBidi"/>
          <w:lang w:val="en"/>
        </w:rPr>
        <w:t>nombreux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constructeurs</w:t>
      </w:r>
      <w:proofErr w:type="spellEnd"/>
      <w:r>
        <w:rPr>
          <w:rFonts w:asciiTheme="minorBidi" w:hAnsiTheme="minorBidi" w:cstheme="minorBidi"/>
          <w:lang w:val="en"/>
        </w:rPr>
        <w:t xml:space="preserve"> automobiles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véhicules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volet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l'ouverture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réservoir</w:t>
      </w:r>
      <w:proofErr w:type="spellEnd"/>
      <w:r>
        <w:rPr>
          <w:rFonts w:asciiTheme="minorBidi" w:hAnsiTheme="minorBidi" w:cstheme="minorBidi"/>
          <w:lang w:val="en"/>
        </w:rPr>
        <w:t xml:space="preserve"> qui ne </w:t>
      </w:r>
      <w:proofErr w:type="spellStart"/>
      <w:r>
        <w:rPr>
          <w:rFonts w:asciiTheme="minorBidi" w:hAnsiTheme="minorBidi" w:cstheme="minorBidi"/>
          <w:lang w:val="en"/>
        </w:rPr>
        <w:t>s'ouvre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d'insertion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tuyau</w:t>
      </w:r>
      <w:proofErr w:type="spellEnd"/>
      <w:r>
        <w:rPr>
          <w:rFonts w:asciiTheme="minorBidi" w:hAnsiTheme="minorBidi" w:cstheme="minorBidi"/>
          <w:lang w:val="en"/>
        </w:rPr>
        <w:t xml:space="preserve"> de la bonne </w:t>
      </w:r>
      <w:proofErr w:type="spellStart"/>
      <w:r>
        <w:rPr>
          <w:rFonts w:asciiTheme="minorBidi" w:hAnsiTheme="minorBidi" w:cstheme="minorBidi"/>
          <w:lang w:val="en"/>
        </w:rPr>
        <w:t>taille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EB32B5" w:rsidRDefault="00EB32B5" w:rsidP="00EB32B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pourquoi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becs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présentent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maintenant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diamètres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différents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taille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bec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pour diesel </w:t>
      </w:r>
      <w:proofErr w:type="spellStart"/>
      <w:r>
        <w:rPr>
          <w:rFonts w:asciiTheme="minorBidi" w:hAnsiTheme="minorBidi" w:cstheme="minorBidi"/>
          <w:lang w:val="en"/>
        </w:rPr>
        <w:t>permet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d'ouvrir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volet</w:t>
      </w:r>
      <w:proofErr w:type="spellEnd"/>
      <w:r>
        <w:rPr>
          <w:rFonts w:asciiTheme="minorBidi" w:hAnsiTheme="minorBidi" w:cstheme="minorBidi"/>
          <w:lang w:val="en"/>
        </w:rPr>
        <w:t xml:space="preserve"> de protection des </w:t>
      </w:r>
      <w:proofErr w:type="spellStart"/>
      <w:r>
        <w:rPr>
          <w:rFonts w:asciiTheme="minorBidi" w:hAnsiTheme="minorBidi" w:cstheme="minorBidi"/>
          <w:lang w:val="en"/>
        </w:rPr>
        <w:t>réservoirs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empêche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l'ouverture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réservoirs</w:t>
      </w:r>
      <w:proofErr w:type="spellEnd"/>
      <w:r>
        <w:rPr>
          <w:rFonts w:asciiTheme="minorBidi" w:hAnsiTheme="minorBidi" w:cstheme="minorBidi"/>
          <w:lang w:val="en"/>
        </w:rPr>
        <w:t xml:space="preserve"> essence. </w:t>
      </w:r>
      <w:proofErr w:type="spellStart"/>
      <w:r>
        <w:rPr>
          <w:rFonts w:asciiTheme="minorBidi" w:hAnsiTheme="minorBidi" w:cstheme="minorBidi"/>
          <w:lang w:val="en"/>
        </w:rPr>
        <w:lastRenderedPageBreak/>
        <w:t>Inversement</w:t>
      </w:r>
      <w:proofErr w:type="spellEnd"/>
      <w:r>
        <w:rPr>
          <w:rFonts w:asciiTheme="minorBidi" w:hAnsiTheme="minorBidi" w:cstheme="minorBidi"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lang w:val="en"/>
        </w:rPr>
        <w:t>volet</w:t>
      </w:r>
      <w:proofErr w:type="spellEnd"/>
      <w:r>
        <w:rPr>
          <w:rFonts w:asciiTheme="minorBidi" w:hAnsiTheme="minorBidi" w:cstheme="minorBidi"/>
          <w:lang w:val="en"/>
        </w:rPr>
        <w:t xml:space="preserve"> de protection du </w:t>
      </w:r>
      <w:proofErr w:type="spellStart"/>
      <w:r>
        <w:rPr>
          <w:rFonts w:asciiTheme="minorBidi" w:hAnsiTheme="minorBidi" w:cstheme="minorBidi"/>
          <w:lang w:val="en"/>
        </w:rPr>
        <w:t>réservoir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reste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fermé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cas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d'ajout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pour essence. « Il </w:t>
      </w:r>
      <w:proofErr w:type="spellStart"/>
      <w:r>
        <w:rPr>
          <w:rFonts w:asciiTheme="minorBidi" w:hAnsiTheme="minorBidi" w:cstheme="minorBidi"/>
          <w:lang w:val="en"/>
        </w:rPr>
        <w:t>s'agit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d'une</w:t>
      </w:r>
      <w:proofErr w:type="spellEnd"/>
      <w:r>
        <w:rPr>
          <w:rFonts w:asciiTheme="minorBidi" w:hAnsiTheme="minorBidi" w:cstheme="minorBidi"/>
          <w:lang w:val="en"/>
        </w:rPr>
        <w:t xml:space="preserve"> protection </w:t>
      </w:r>
      <w:proofErr w:type="spellStart"/>
      <w:r>
        <w:rPr>
          <w:rFonts w:asciiTheme="minorBidi" w:hAnsiTheme="minorBidi" w:cstheme="minorBidi"/>
          <w:lang w:val="en"/>
        </w:rPr>
        <w:t>supplémentaire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l'utilisation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accidentelle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mauvais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:rsidR="00EB32B5" w:rsidRDefault="00EB32B5" w:rsidP="00EB32B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Bien </w:t>
      </w:r>
      <w:proofErr w:type="spellStart"/>
      <w:r>
        <w:rPr>
          <w:rFonts w:asciiTheme="minorBidi" w:hAnsiTheme="minorBidi" w:cstheme="minorBidi"/>
          <w:lang w:val="en"/>
        </w:rPr>
        <w:t>entendu</w:t>
      </w:r>
      <w:proofErr w:type="spellEnd"/>
      <w:r>
        <w:rPr>
          <w:rFonts w:asciiTheme="minorBidi" w:hAnsiTheme="minorBidi" w:cstheme="minorBidi"/>
          <w:lang w:val="en"/>
        </w:rPr>
        <w:t xml:space="preserve">, les nouveaux </w:t>
      </w:r>
      <w:proofErr w:type="spellStart"/>
      <w:r>
        <w:rPr>
          <w:rFonts w:asciiTheme="minorBidi" w:hAnsiTheme="minorBidi" w:cstheme="minorBidi"/>
          <w:lang w:val="en"/>
        </w:rPr>
        <w:t>becs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fonctionnent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voitures</w:t>
      </w:r>
      <w:proofErr w:type="spellEnd"/>
      <w:r>
        <w:rPr>
          <w:rFonts w:asciiTheme="minorBidi" w:hAnsiTheme="minorBidi" w:cstheme="minorBidi"/>
          <w:lang w:val="en"/>
        </w:rPr>
        <w:t xml:space="preserve"> sans </w:t>
      </w:r>
      <w:proofErr w:type="spellStart"/>
      <w:r>
        <w:rPr>
          <w:rFonts w:asciiTheme="minorBidi" w:hAnsiTheme="minorBidi" w:cstheme="minorBidi"/>
          <w:lang w:val="en"/>
        </w:rPr>
        <w:t>volet</w:t>
      </w:r>
      <w:proofErr w:type="spellEnd"/>
      <w:r>
        <w:rPr>
          <w:rFonts w:asciiTheme="minorBidi" w:hAnsiTheme="minorBidi" w:cstheme="minorBidi"/>
          <w:lang w:val="en"/>
        </w:rPr>
        <w:t xml:space="preserve"> de protection sur le </w:t>
      </w:r>
      <w:proofErr w:type="spellStart"/>
      <w:r>
        <w:rPr>
          <w:rFonts w:asciiTheme="minorBidi" w:hAnsiTheme="minorBidi" w:cstheme="minorBidi"/>
          <w:lang w:val="en"/>
        </w:rPr>
        <w:t>réservoir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adopte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progressivement</w:t>
      </w:r>
      <w:proofErr w:type="spellEnd"/>
      <w:r>
        <w:rPr>
          <w:rFonts w:asciiTheme="minorBidi" w:hAnsiTheme="minorBidi" w:cstheme="minorBidi"/>
          <w:lang w:val="en"/>
        </w:rPr>
        <w:t xml:space="preserve"> les nouveaux </w:t>
      </w:r>
      <w:proofErr w:type="spellStart"/>
      <w:r>
        <w:rPr>
          <w:rFonts w:asciiTheme="minorBidi" w:hAnsiTheme="minorBidi" w:cstheme="minorBidi"/>
          <w:lang w:val="en"/>
        </w:rPr>
        <w:t>becs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la production </w:t>
      </w:r>
      <w:proofErr w:type="spellStart"/>
      <w:r>
        <w:rPr>
          <w:rFonts w:asciiTheme="minorBidi" w:hAnsiTheme="minorBidi" w:cstheme="minorBidi"/>
          <w:lang w:val="en"/>
        </w:rPr>
        <w:t>d'additifs</w:t>
      </w:r>
      <w:proofErr w:type="spellEnd"/>
      <w:r>
        <w:rPr>
          <w:rFonts w:asciiTheme="minorBidi" w:hAnsiTheme="minorBidi" w:cstheme="minorBidi"/>
          <w:lang w:val="en"/>
        </w:rPr>
        <w:t xml:space="preserve">. Pendant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certain</w:t>
      </w:r>
      <w:proofErr w:type="spellEnd"/>
      <w:r>
        <w:rPr>
          <w:rFonts w:asciiTheme="minorBidi" w:hAnsiTheme="minorBidi" w:cstheme="minorBidi"/>
          <w:lang w:val="en"/>
        </w:rPr>
        <w:t xml:space="preserve"> temps, des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disponibles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simultanément</w:t>
      </w:r>
      <w:proofErr w:type="spellEnd"/>
      <w:r>
        <w:rPr>
          <w:rFonts w:asciiTheme="minorBidi" w:hAnsiTheme="minorBidi" w:cstheme="minorBidi"/>
          <w:lang w:val="en"/>
        </w:rPr>
        <w:t xml:space="preserve"> avec les </w:t>
      </w:r>
      <w:proofErr w:type="spellStart"/>
      <w:r>
        <w:rPr>
          <w:rFonts w:asciiTheme="minorBidi" w:hAnsiTheme="minorBidi" w:cstheme="minorBidi"/>
          <w:lang w:val="en"/>
        </w:rPr>
        <w:t>anciens</w:t>
      </w:r>
      <w:proofErr w:type="spellEnd"/>
      <w:r>
        <w:rPr>
          <w:rFonts w:asciiTheme="minorBidi" w:hAnsiTheme="minorBidi" w:cstheme="minorBidi"/>
          <w:lang w:val="en"/>
        </w:rPr>
        <w:t xml:space="preserve"> et les nouveaux </w:t>
      </w:r>
      <w:proofErr w:type="spellStart"/>
      <w:r>
        <w:rPr>
          <w:rFonts w:asciiTheme="minorBidi" w:hAnsiTheme="minorBidi" w:cstheme="minorBidi"/>
          <w:lang w:val="en"/>
        </w:rPr>
        <w:t>becs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verseurs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EB32B5" w:rsidRDefault="00EB32B5" w:rsidP="00EB32B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Par </w:t>
      </w:r>
      <w:proofErr w:type="spellStart"/>
      <w:r>
        <w:rPr>
          <w:rFonts w:asciiTheme="minorBidi" w:hAnsiTheme="minorBidi" w:cstheme="minorBidi"/>
          <w:lang w:val="en"/>
        </w:rPr>
        <w:t>ailleurs</w:t>
      </w:r>
      <w:proofErr w:type="spellEnd"/>
      <w:r>
        <w:rPr>
          <w:rFonts w:asciiTheme="minorBidi" w:hAnsiTheme="minorBidi" w:cstheme="minorBidi"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lang w:val="en"/>
        </w:rPr>
        <w:t>codage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couleur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toujours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distinguer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LIQUI </w:t>
      </w:r>
      <w:proofErr w:type="gramStart"/>
      <w:r>
        <w:rPr>
          <w:rFonts w:asciiTheme="minorBidi" w:hAnsiTheme="minorBidi" w:cstheme="minorBidi"/>
          <w:lang w:val="en"/>
        </w:rPr>
        <w:t>MOLY :</w:t>
      </w:r>
      <w:proofErr w:type="gram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pour diesel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couvercle</w:t>
      </w:r>
      <w:proofErr w:type="spellEnd"/>
      <w:r>
        <w:rPr>
          <w:rFonts w:asciiTheme="minorBidi" w:hAnsiTheme="minorBidi" w:cstheme="minorBidi"/>
          <w:lang w:val="en"/>
        </w:rPr>
        <w:t xml:space="preserve"> rouge, les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pour essence un </w:t>
      </w:r>
      <w:proofErr w:type="spellStart"/>
      <w:r>
        <w:rPr>
          <w:rFonts w:asciiTheme="minorBidi" w:hAnsiTheme="minorBidi" w:cstheme="minorBidi"/>
          <w:lang w:val="en"/>
        </w:rPr>
        <w:t>couvercle</w:t>
      </w:r>
      <w:proofErr w:type="spellEnd"/>
      <w:r>
        <w:rPr>
          <w:rFonts w:asciiTheme="minorBidi" w:hAnsiTheme="minorBidi" w:cstheme="minorBidi"/>
          <w:lang w:val="en"/>
        </w:rPr>
        <w:t xml:space="preserve"> bleu, les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huile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couvercle</w:t>
      </w:r>
      <w:proofErr w:type="spellEnd"/>
      <w:r>
        <w:rPr>
          <w:rFonts w:asciiTheme="minorBidi" w:hAnsiTheme="minorBidi" w:cstheme="minorBidi"/>
          <w:lang w:val="en"/>
        </w:rPr>
        <w:t xml:space="preserve"> noir et les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radiateur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couvercle</w:t>
      </w:r>
      <w:proofErr w:type="spellEnd"/>
      <w:r>
        <w:rPr>
          <w:rFonts w:asciiTheme="minorBidi" w:hAnsiTheme="minorBidi" w:cstheme="minorBidi"/>
          <w:lang w:val="en"/>
        </w:rPr>
        <w:t xml:space="preserve"> blanc.</w:t>
      </w:r>
    </w:p>
    <w:p w:rsidR="006C54DA" w:rsidRDefault="006C54DA" w:rsidP="006C54DA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2C5473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C5473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451F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2019-03-04T08:49:00Z</dcterms:created>
  <dcterms:modified xsi:type="dcterms:W3CDTF">2019-03-04T08:49:00Z</dcterms:modified>
</cp:coreProperties>
</file>