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02" w:rsidRPr="00AB1002" w:rsidRDefault="00AB1002" w:rsidP="00AB1002">
      <w:pPr>
        <w:spacing w:line="360" w:lineRule="auto"/>
        <w:ind w:right="1985"/>
        <w:rPr>
          <w:rFonts w:asciiTheme="minorBidi" w:hAnsiTheme="minorBidi" w:cstheme="minorBidi"/>
          <w:b/>
          <w:bCs/>
          <w:snapToGrid/>
          <w:sz w:val="36"/>
        </w:rPr>
      </w:pPr>
      <w:r w:rsidRPr="00AB1002">
        <w:rPr>
          <w:rFonts w:asciiTheme="minorBidi" w:hAnsiTheme="minorBidi" w:cstheme="minorBidi"/>
          <w:b/>
          <w:bCs/>
          <w:sz w:val="36"/>
          <w:lang w:val="da-DK"/>
        </w:rPr>
        <w:t>Slut med effekttab og stigende forbrug</w:t>
      </w:r>
    </w:p>
    <w:p w:rsidR="00AB1002" w:rsidRDefault="00AB1002" w:rsidP="00AB1002">
      <w:pPr>
        <w:spacing w:line="360" w:lineRule="auto"/>
        <w:ind w:right="1985"/>
        <w:rPr>
          <w:rFonts w:asciiTheme="minorBidi" w:hAnsiTheme="minorBidi" w:cstheme="minorBidi"/>
          <w:sz w:val="28"/>
          <w:szCs w:val="28"/>
        </w:rPr>
      </w:pPr>
    </w:p>
    <w:p w:rsidR="00AB1002" w:rsidRDefault="00AB1002" w:rsidP="00AB1002">
      <w:pPr>
        <w:spacing w:line="360" w:lineRule="auto"/>
        <w:ind w:right="1985"/>
        <w:rPr>
          <w:rFonts w:asciiTheme="minorBidi" w:hAnsiTheme="minorBidi" w:cstheme="minorBidi"/>
          <w:b/>
        </w:rPr>
      </w:pPr>
      <w:r>
        <w:rPr>
          <w:rFonts w:asciiTheme="minorBidi" w:hAnsiTheme="minorBidi" w:cstheme="minorBidi"/>
          <w:sz w:val="28"/>
          <w:lang w:val="da-DK"/>
        </w:rPr>
        <w:t>Super Diesel Additiv von LIQUI MOLY giver motoren dens oprindelige effekt tilbage</w:t>
      </w:r>
    </w:p>
    <w:p w:rsidR="00AB1002" w:rsidRDefault="00AB1002" w:rsidP="00AB1002">
      <w:pPr>
        <w:spacing w:line="360" w:lineRule="auto"/>
        <w:ind w:right="1985"/>
        <w:jc w:val="both"/>
        <w:rPr>
          <w:rFonts w:asciiTheme="minorBidi" w:hAnsiTheme="minorBidi" w:cstheme="minorBidi"/>
          <w:b/>
        </w:rPr>
      </w:pPr>
    </w:p>
    <w:p w:rsidR="00AB1002" w:rsidRPr="00AB1002" w:rsidRDefault="0013312D" w:rsidP="00AB1002">
      <w:pPr>
        <w:spacing w:after="240" w:line="360" w:lineRule="auto"/>
        <w:ind w:right="1985"/>
        <w:jc w:val="both"/>
        <w:rPr>
          <w:rFonts w:asciiTheme="minorBidi" w:hAnsiTheme="minorBidi" w:cstheme="minorBidi"/>
          <w:b/>
          <w:bCs/>
        </w:rPr>
      </w:pPr>
      <w:r>
        <w:rPr>
          <w:rFonts w:asciiTheme="minorBidi" w:hAnsiTheme="minorBidi" w:cstheme="minorBidi"/>
          <w:b/>
          <w:bCs/>
          <w:lang w:val="da-DK"/>
        </w:rPr>
        <w:t>November</w:t>
      </w:r>
      <w:r w:rsidR="00AB1002" w:rsidRPr="00AB1002">
        <w:rPr>
          <w:rFonts w:asciiTheme="minorBidi" w:hAnsiTheme="minorBidi" w:cstheme="minorBidi"/>
          <w:b/>
          <w:bCs/>
          <w:lang w:val="da-DK"/>
        </w:rPr>
        <w:t xml:space="preserve"> 2018 – Det er noget, som alle forbrændingsmotorer lider under: Så snart motoren kører, dannes der forbrændingsrester, der aflejres inde i motoren. Det medfører, at motoren støt men umærkeligt mister ydelse og bruger mere brændstof, og risikoen for reparationskrævende skader øges. Det sætter Super Diesel Additiv fra den tyske olie- og additivspecialist LIQUI MOLY en stopper for, så motoren får sin oprindelige effekt tilbage, som dengang den var ny. </w:t>
      </w:r>
    </w:p>
    <w:p w:rsidR="00AB1002" w:rsidRDefault="00AB1002" w:rsidP="00AB1002">
      <w:pPr>
        <w:spacing w:after="240" w:line="360" w:lineRule="auto"/>
        <w:ind w:right="1985"/>
        <w:jc w:val="both"/>
        <w:rPr>
          <w:rFonts w:asciiTheme="minorBidi" w:hAnsiTheme="minorBidi" w:cstheme="minorBidi"/>
        </w:rPr>
      </w:pPr>
      <w:r>
        <w:rPr>
          <w:rFonts w:asciiTheme="minorBidi" w:hAnsiTheme="minorBidi" w:cstheme="minorBidi"/>
          <w:lang w:val="da-DK"/>
        </w:rPr>
        <w:t xml:space="preserve">"En kritisk komponent er injektorerne," forklarer David Kaiser, der er forsknings- og udviklingschef i LIQUI MOLY. Injektorerne sprøjter dieselolien ind i brændkammeret som en fin tåge. "Hvis der dannes belægninger ved de hårtynde kanaler i injektorerne, forstøves brændstoffet ikke længere helt så fint. Det bevirker, at det ikke længere forbrænder helt så effektivt." Konsekvensen er, at motoreffekten falder, forbruget stiger, og emissionstallene forringes. Fordi processen kommer snigende, bemærker bilejeren sjældent noget. </w:t>
      </w:r>
    </w:p>
    <w:p w:rsidR="00AB1002" w:rsidRDefault="00AB1002" w:rsidP="00AB1002">
      <w:pPr>
        <w:spacing w:after="240" w:line="360" w:lineRule="auto"/>
        <w:ind w:right="1985"/>
        <w:jc w:val="both"/>
        <w:rPr>
          <w:rFonts w:asciiTheme="minorBidi" w:hAnsiTheme="minorBidi" w:cstheme="minorBidi"/>
        </w:rPr>
      </w:pPr>
      <w:r>
        <w:rPr>
          <w:rFonts w:asciiTheme="minorBidi" w:hAnsiTheme="minorBidi" w:cstheme="minorBidi"/>
          <w:lang w:val="da-DK"/>
        </w:rPr>
        <w:t xml:space="preserve">Dertil skal lægges, at injektorerne er superpræcise, sarte komponenter, der skal kunne tåle tryk på flere tusind atmosfære og alligevel udføre mere end hundrede nøje afmålte indsprøjtninger hvert sekund. Forbrændingsrester tilstopper dem, så de til sidst ikke kan udføre deres opgave. En injektor er ikke billig, og den skal udskiftes af et værksted, hvilket gør det hele endnu dyrere. </w:t>
      </w:r>
    </w:p>
    <w:p w:rsidR="00AB1002" w:rsidRDefault="00AB1002" w:rsidP="00AB1002">
      <w:pPr>
        <w:spacing w:after="240" w:line="360" w:lineRule="auto"/>
        <w:ind w:right="1985"/>
        <w:jc w:val="both"/>
        <w:rPr>
          <w:rFonts w:asciiTheme="minorBidi" w:hAnsiTheme="minorBidi" w:cstheme="minorBidi"/>
        </w:rPr>
      </w:pPr>
      <w:r>
        <w:rPr>
          <w:rFonts w:asciiTheme="minorBidi" w:hAnsiTheme="minorBidi" w:cstheme="minorBidi"/>
          <w:lang w:val="da-DK"/>
        </w:rPr>
        <w:t xml:space="preserve">Denne udgift kan man spare ved at komme en dosis Super Diesel Additiv fra LIQUI MOLY i tanken for hver 2000 km. Det aktive stof </w:t>
      </w:r>
      <w:r>
        <w:rPr>
          <w:rFonts w:asciiTheme="minorBidi" w:hAnsiTheme="minorBidi" w:cstheme="minorBidi"/>
          <w:lang w:val="da-DK"/>
        </w:rPr>
        <w:lastRenderedPageBreak/>
        <w:t xml:space="preserve">opløser belægningerne på injektorerne og forbedrer således forstøvningen. På den måde får motoren sin oprindelige ydelse og sit oprindelige brændstofforbrug tilbage. Ud over rengøringen medfører Super Diesel Additiv en række andre fordele: Det forhøjer dieseloliens cetantal, der er et mål for brændstoffets villighed til at selvantænde. Og så beskytter det hele brændstofsystemet mod korrosion og slitage. Super Diesel Additiv virker bredt og beskytter også motoren, hvis brændstofkvaliteten skulle være mindre god. </w:t>
      </w:r>
    </w:p>
    <w:p w:rsidR="00AB1002" w:rsidRDefault="00AB1002" w:rsidP="00AB1002">
      <w:pPr>
        <w:spacing w:after="240" w:line="360" w:lineRule="auto"/>
        <w:ind w:right="1985"/>
        <w:jc w:val="both"/>
        <w:rPr>
          <w:rFonts w:asciiTheme="minorBidi" w:hAnsiTheme="minorBidi" w:cstheme="minorBidi"/>
        </w:rPr>
      </w:pPr>
      <w:r>
        <w:rPr>
          <w:rFonts w:asciiTheme="minorBidi" w:hAnsiTheme="minorBidi" w:cstheme="minorBidi"/>
          <w:lang w:val="da-DK"/>
        </w:rPr>
        <w:t>"Regelmæssig brug af Super Diesel Additiv medfører den bedste rengøringsvirkning," tilføjer David Kaiser. "På den måde får motoren sine oprindelige egenskaber igen – det gælder både motoreffekt og brændstofforbrug. Og ejeren slipper for kostbare reparationer."</w:t>
      </w:r>
    </w:p>
    <w:p w:rsidR="00F55069" w:rsidRDefault="00AB1002" w:rsidP="00AB1002">
      <w:pPr>
        <w:spacing w:after="240" w:line="360" w:lineRule="auto"/>
        <w:ind w:right="1985"/>
        <w:jc w:val="both"/>
        <w:rPr>
          <w:rFonts w:asciiTheme="minorBidi" w:hAnsiTheme="minorBidi" w:cstheme="minorBidi"/>
          <w:lang w:val="da-DK"/>
        </w:rPr>
      </w:pPr>
      <w:r>
        <w:rPr>
          <w:rFonts w:asciiTheme="minorBidi" w:hAnsiTheme="minorBidi" w:cstheme="minorBidi"/>
          <w:lang w:val="da-DK"/>
        </w:rPr>
        <w:t>På sit tyske hjemmemarked er LIQUI MOLY førende med hensyn til additiver.</w:t>
      </w:r>
    </w:p>
    <w:p w:rsidR="00A742E2" w:rsidRDefault="00A742E2" w:rsidP="00AB1002">
      <w:pPr>
        <w:spacing w:after="240" w:line="360" w:lineRule="auto"/>
        <w:ind w:right="1985"/>
        <w:jc w:val="both"/>
        <w:rPr>
          <w:rFonts w:asciiTheme="minorBidi" w:hAnsiTheme="minorBidi" w:cstheme="minorBidi"/>
          <w:lang w:val="da-DK"/>
        </w:rPr>
      </w:pPr>
    </w:p>
    <w:p w:rsidR="00A742E2" w:rsidRDefault="00A742E2" w:rsidP="00A742E2">
      <w:pPr>
        <w:spacing w:after="240" w:line="360" w:lineRule="auto"/>
        <w:ind w:right="1985"/>
        <w:jc w:val="both"/>
        <w:rPr>
          <w:rFonts w:asciiTheme="minorBidi" w:hAnsiTheme="minorBidi" w:cstheme="minorBidi"/>
          <w:b/>
          <w:lang w:val="da-DK"/>
        </w:rPr>
      </w:pPr>
      <w:r w:rsidRPr="008E5104">
        <w:rPr>
          <w:rFonts w:asciiTheme="minorBidi" w:hAnsiTheme="minorBidi" w:cstheme="minorBidi"/>
          <w:b/>
          <w:lang w:val="da-DK"/>
        </w:rPr>
        <w:t>Foto:</w:t>
      </w:r>
    </w:p>
    <w:p w:rsidR="00A742E2" w:rsidRPr="00A742E2" w:rsidRDefault="00F564B1" w:rsidP="00A742E2">
      <w:pPr>
        <w:spacing w:after="240" w:line="360" w:lineRule="auto"/>
        <w:ind w:right="1985"/>
        <w:jc w:val="both"/>
        <w:rPr>
          <w:rFonts w:asciiTheme="minorBidi" w:hAnsiTheme="minorBidi" w:cstheme="minorBidi"/>
          <w:lang w:val="da-DK"/>
        </w:rPr>
      </w:pPr>
      <w:hyperlink r:id="rId7" w:history="1">
        <w:r>
          <w:rPr>
            <w:rStyle w:val="Hyperlink"/>
            <w:rFonts w:asciiTheme="minorBidi" w:hAnsiTheme="minorBidi" w:cstheme="minorBidi"/>
            <w:lang w:val="da-DK"/>
          </w:rPr>
          <w:t>Injektorer før og efter brug af Super Diesel Additiv</w:t>
        </w:r>
      </w:hyperlink>
      <w:bookmarkStart w:id="0" w:name="_GoBack"/>
      <w:bookmarkEnd w:id="0"/>
    </w:p>
    <w:p w:rsidR="00A742E2" w:rsidRPr="0025043B" w:rsidRDefault="00F564B1" w:rsidP="00A742E2">
      <w:pPr>
        <w:spacing w:after="240" w:line="360" w:lineRule="auto"/>
        <w:rPr>
          <w:rFonts w:asciiTheme="minorBidi" w:hAnsiTheme="minorBidi" w:cstheme="minorBidi"/>
        </w:rPr>
      </w:pPr>
      <w:hyperlink r:id="rId8" w:history="1">
        <w:r w:rsidR="00A742E2" w:rsidRPr="0025043B">
          <w:rPr>
            <w:rStyle w:val="Hyperlink"/>
            <w:rFonts w:asciiTheme="minorBidi" w:hAnsiTheme="minorBidi"/>
          </w:rPr>
          <w:t>Super Diesel Additive</w:t>
        </w:r>
      </w:hyperlink>
    </w:p>
    <w:p w:rsidR="00A742E2" w:rsidRDefault="00A742E2" w:rsidP="00AB1002">
      <w:pPr>
        <w:spacing w:after="240" w:line="360" w:lineRule="auto"/>
        <w:ind w:right="1985"/>
        <w:jc w:val="both"/>
        <w:rPr>
          <w:rFonts w:ascii="Arial" w:hAnsi="Arial" w:cs="Arial"/>
        </w:rPr>
      </w:pPr>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 xml:space="preserve">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w:t>
      </w:r>
      <w:r w:rsidRPr="003614CB">
        <w:rPr>
          <w:rFonts w:ascii="Arial" w:hAnsi="Arial"/>
          <w:lang w:val="da-DK" w:eastAsia="da-DK"/>
        </w:rPr>
        <w:lastRenderedPageBreak/>
        <w:t>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13312D" w:rsidRPr="000A10F2" w:rsidRDefault="0013312D" w:rsidP="0013312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13312D" w:rsidRPr="000A10F2" w:rsidRDefault="00F564B1" w:rsidP="0013312D">
      <w:pPr>
        <w:pStyle w:val="Textkrper"/>
        <w:tabs>
          <w:tab w:val="left" w:pos="6660"/>
          <w:tab w:val="left" w:pos="7020"/>
        </w:tabs>
        <w:spacing w:line="240" w:lineRule="auto"/>
        <w:rPr>
          <w:rFonts w:ascii="Arial" w:hAnsi="Arial" w:cs="Arial"/>
          <w:color w:val="000000"/>
          <w:lang w:val="en-US"/>
        </w:rPr>
      </w:pPr>
      <w:hyperlink r:id="rId9" w:history="1">
        <w:r w:rsidR="0013312D" w:rsidRPr="000A10F2">
          <w:rPr>
            <w:rStyle w:val="Hyperlink"/>
            <w:rFonts w:ascii="Arial" w:hAnsi="Arial" w:cs="Arial"/>
            <w:lang w:val="en-US"/>
          </w:rPr>
          <w:t>peter.szarafinski@liqui-moly.de</w:t>
        </w:r>
      </w:hyperlink>
    </w:p>
    <w:p w:rsidR="00BE175A" w:rsidRDefault="00BE175A" w:rsidP="0013312D">
      <w:pPr>
        <w:widowControl w:val="0"/>
        <w:autoSpaceDE w:val="0"/>
        <w:autoSpaceDN w:val="0"/>
        <w:adjustRightInd w:val="0"/>
        <w:ind w:right="1984"/>
        <w:rPr>
          <w:rStyle w:val="Hyperlink"/>
          <w:rFonts w:ascii="Arial" w:hAnsi="Arial" w:cs="Arial"/>
          <w:noProof/>
          <w:color w:val="000000"/>
          <w:u w:val="none"/>
          <w:lang w:val="en-US"/>
        </w:rPr>
      </w:pPr>
    </w:p>
    <w:sectPr w:rsidR="00BE175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3312D"/>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60D90"/>
    <w:rsid w:val="003614CB"/>
    <w:rsid w:val="003712BF"/>
    <w:rsid w:val="00374BFC"/>
    <w:rsid w:val="003828D9"/>
    <w:rsid w:val="00382BCC"/>
    <w:rsid w:val="00383079"/>
    <w:rsid w:val="00390C77"/>
    <w:rsid w:val="003971A4"/>
    <w:rsid w:val="003A0A26"/>
    <w:rsid w:val="003A12AA"/>
    <w:rsid w:val="003A5628"/>
    <w:rsid w:val="003B200B"/>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6E12"/>
    <w:rsid w:val="008F2381"/>
    <w:rsid w:val="008F4C1B"/>
    <w:rsid w:val="008F66A4"/>
    <w:rsid w:val="0090036B"/>
    <w:rsid w:val="00902C09"/>
    <w:rsid w:val="009115CA"/>
    <w:rsid w:val="009171CB"/>
    <w:rsid w:val="00921B3A"/>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44B2"/>
    <w:rsid w:val="00A5690F"/>
    <w:rsid w:val="00A56AE7"/>
    <w:rsid w:val="00A61B3E"/>
    <w:rsid w:val="00A642A6"/>
    <w:rsid w:val="00A72CB9"/>
    <w:rsid w:val="00A73949"/>
    <w:rsid w:val="00A742E2"/>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59BB"/>
    <w:rsid w:val="00C25B7E"/>
    <w:rsid w:val="00C271CC"/>
    <w:rsid w:val="00C275D7"/>
    <w:rsid w:val="00C45EF0"/>
    <w:rsid w:val="00C546C8"/>
    <w:rsid w:val="00C62E03"/>
    <w:rsid w:val="00C67FE9"/>
    <w:rsid w:val="00C72FBF"/>
    <w:rsid w:val="00C73430"/>
    <w:rsid w:val="00C76C83"/>
    <w:rsid w:val="00C862A9"/>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4B1"/>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 w:type="character" w:styleId="BesuchterHyperlink">
    <w:name w:val="FollowedHyperlink"/>
    <w:basedOn w:val="Absatz-Standardschriftart"/>
    <w:rsid w:val="00A74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com/fileadmin/user_upload/Presse/Pressemitteilungen_DE/2018/11/5120_Super-Diesel-Additiv.jpg"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DE/2018/11/Dieselinjektoren.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szarafinski@liqui-mol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3676</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2018-07-16T13:00:00Z</dcterms:created>
  <dcterms:modified xsi:type="dcterms:W3CDTF">2018-11-13T10:09:00Z</dcterms:modified>
</cp:coreProperties>
</file>