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0C" w:rsidRDefault="00120D0C" w:rsidP="00120D0C">
      <w:pPr>
        <w:spacing w:line="360" w:lineRule="auto"/>
        <w:ind w:right="1984"/>
        <w:jc w:val="both"/>
        <w:rPr>
          <w:rFonts w:ascii="Arial" w:hAnsi="Arial" w:cs="Arial"/>
          <w:b/>
          <w:snapToGrid/>
          <w:sz w:val="36"/>
          <w:szCs w:val="36"/>
        </w:rPr>
      </w:pPr>
      <w:r>
        <w:rPr>
          <w:rFonts w:ascii="Arial" w:hAnsi="Arial" w:cs="Arial"/>
          <w:b/>
          <w:bCs/>
          <w:sz w:val="36"/>
          <w:szCs w:val="36"/>
          <w:lang w:val="da-DK"/>
        </w:rPr>
        <w:t>LIQUI MOLY sætter ny omsætningsrekord</w:t>
      </w:r>
    </w:p>
    <w:p w:rsidR="00120D0C" w:rsidRDefault="00120D0C" w:rsidP="00120D0C">
      <w:pPr>
        <w:spacing w:line="360" w:lineRule="auto"/>
        <w:ind w:right="1984"/>
        <w:jc w:val="both"/>
        <w:rPr>
          <w:rFonts w:ascii="Arial" w:hAnsi="Arial" w:cs="Arial"/>
        </w:rPr>
      </w:pPr>
    </w:p>
    <w:p w:rsidR="00120D0C" w:rsidRDefault="00120D0C" w:rsidP="00120D0C">
      <w:pPr>
        <w:spacing w:line="360" w:lineRule="auto"/>
        <w:ind w:right="1984"/>
        <w:jc w:val="both"/>
        <w:rPr>
          <w:rFonts w:ascii="Arial" w:hAnsi="Arial" w:cs="Arial"/>
          <w:sz w:val="28"/>
          <w:szCs w:val="28"/>
        </w:rPr>
      </w:pPr>
      <w:r>
        <w:rPr>
          <w:rFonts w:ascii="Arial" w:hAnsi="Arial" w:cs="Arial"/>
          <w:sz w:val="28"/>
          <w:szCs w:val="28"/>
          <w:lang w:val="da-DK"/>
        </w:rPr>
        <w:t xml:space="preserve">I oktober nåede den tyske olie- og additivspecialist en rekordhøj omsætning på 53,8 mio. euro </w:t>
      </w:r>
    </w:p>
    <w:p w:rsidR="00120D0C" w:rsidRDefault="00120D0C" w:rsidP="00120D0C">
      <w:pPr>
        <w:spacing w:line="360" w:lineRule="auto"/>
        <w:ind w:right="1984"/>
        <w:jc w:val="both"/>
        <w:rPr>
          <w:rFonts w:ascii="Arial" w:hAnsi="Arial" w:cs="Arial"/>
        </w:rPr>
      </w:pPr>
    </w:p>
    <w:p w:rsidR="00120D0C" w:rsidRDefault="00120D0C" w:rsidP="00120D0C">
      <w:pPr>
        <w:spacing w:after="240" w:line="360" w:lineRule="auto"/>
        <w:ind w:right="1984"/>
        <w:jc w:val="both"/>
        <w:rPr>
          <w:rFonts w:ascii="Arial" w:hAnsi="Arial" w:cs="Arial"/>
          <w:b/>
        </w:rPr>
      </w:pPr>
      <w:r>
        <w:rPr>
          <w:rFonts w:ascii="Arial" w:hAnsi="Arial" w:cs="Arial"/>
          <w:b/>
          <w:bCs/>
          <w:lang w:val="da-DK"/>
        </w:rPr>
        <w:t>November 2018 – LIQUI MOLY indleder årets sidste kvartal med en rekord.</w:t>
      </w:r>
      <w:r>
        <w:rPr>
          <w:rFonts w:ascii="Arial" w:hAnsi="Arial" w:cs="Arial"/>
          <w:lang w:val="da-DK"/>
        </w:rPr>
        <w:t xml:space="preserve"> </w:t>
      </w:r>
      <w:r>
        <w:rPr>
          <w:rFonts w:ascii="Arial" w:hAnsi="Arial" w:cs="Arial"/>
          <w:b/>
          <w:bCs/>
          <w:lang w:val="da-DK"/>
        </w:rPr>
        <w:t>I oktober omsatte virksomheden for 53,8 millioner euro.</w:t>
      </w:r>
      <w:r>
        <w:rPr>
          <w:rFonts w:ascii="Arial" w:hAnsi="Arial" w:cs="Arial"/>
          <w:lang w:val="da-DK"/>
        </w:rPr>
        <w:t xml:space="preserve"> </w:t>
      </w:r>
      <w:r>
        <w:rPr>
          <w:rFonts w:ascii="Arial" w:hAnsi="Arial" w:cs="Arial"/>
          <w:b/>
          <w:bCs/>
          <w:lang w:val="da-DK"/>
        </w:rPr>
        <w:t>Dermed er den hidtidige, 11 måneder gamle rekord allerede historie.</w:t>
      </w:r>
      <w:r>
        <w:rPr>
          <w:rFonts w:ascii="Arial" w:hAnsi="Arial" w:cs="Arial"/>
          <w:lang w:val="da-DK"/>
        </w:rPr>
        <w:t xml:space="preserve"> </w:t>
      </w:r>
      <w:r>
        <w:rPr>
          <w:rFonts w:ascii="Arial" w:hAnsi="Arial" w:cs="Arial"/>
          <w:b/>
          <w:bCs/>
          <w:lang w:val="da-DK"/>
        </w:rPr>
        <w:t>"Vores totalkoncept og det brede sortiment er bærende for denne succes", siger Ernst Prost, direktør for den tyske olie- og additivspecialist.</w:t>
      </w:r>
      <w:r>
        <w:rPr>
          <w:rFonts w:ascii="Arial" w:hAnsi="Arial" w:cs="Arial"/>
          <w:lang w:val="da-DK"/>
        </w:rPr>
        <w:t xml:space="preserve"> </w:t>
      </w:r>
    </w:p>
    <w:p w:rsidR="00120D0C" w:rsidRDefault="00120D0C" w:rsidP="00120D0C">
      <w:pPr>
        <w:spacing w:after="240" w:line="360" w:lineRule="auto"/>
        <w:ind w:right="1984"/>
        <w:jc w:val="both"/>
        <w:rPr>
          <w:rFonts w:ascii="Arial" w:hAnsi="Arial" w:cs="Arial"/>
        </w:rPr>
      </w:pPr>
      <w:r>
        <w:rPr>
          <w:rFonts w:ascii="Arial" w:hAnsi="Arial" w:cs="Arial"/>
          <w:lang w:val="da-DK"/>
        </w:rPr>
        <w:t xml:space="preserve">Med 53,8 millioner er det den bedste måned i virksomhedens historie og samtidig 34 procent højere end oktober 2017. "Vi står stærkt på alle områder, og det giver pote", understreger Ernst Prost. Hertil hører en salgsafdeling, der benytter sig af mange kanaler. Og det omfatter også et stort produktudvalg. "Det er ikke nok kun at positionere sig på ét område, for efterspørgslen efter bestemte produkter kan hurtigt forsvinde". Derfor har man hos LIQUI MOLY i rette tid truffet forholdsregler for at holde sig på sikker kurs i økonomisk omskiftelige tider. </w:t>
      </w:r>
    </w:p>
    <w:p w:rsidR="00120D0C" w:rsidRDefault="00120D0C" w:rsidP="00120D0C">
      <w:pPr>
        <w:spacing w:after="240" w:line="360" w:lineRule="auto"/>
        <w:ind w:right="1984"/>
        <w:jc w:val="both"/>
        <w:rPr>
          <w:rFonts w:ascii="Arial" w:hAnsi="Arial" w:cs="Arial"/>
        </w:rPr>
      </w:pPr>
      <w:r>
        <w:rPr>
          <w:rFonts w:ascii="Arial" w:hAnsi="Arial" w:cs="Arial"/>
          <w:lang w:val="da-DK"/>
        </w:rPr>
        <w:t>Et af disse tiltag er den fortsatte udvidelse af eksportforretningen. Virksomheden vokser ganske vist på hjemmemarkedet, men her kan der kun opnås yderligere vækst gennem fortrængning. Andre regioner og lande byder på langt større potentiale. Selv i Mali og Yemen forhandler LIQUI MOLY deres produkter. "Hvis man holder sig på afstand af krigen, er livet næsten normalt", tilføjer Ernst Prost.</w:t>
      </w:r>
    </w:p>
    <w:p w:rsidR="00120D0C" w:rsidRDefault="00120D0C" w:rsidP="00120D0C">
      <w:pPr>
        <w:spacing w:after="240" w:line="360" w:lineRule="auto"/>
        <w:ind w:right="1984"/>
        <w:jc w:val="both"/>
      </w:pPr>
      <w:r>
        <w:rPr>
          <w:rFonts w:ascii="Arial" w:hAnsi="Arial" w:cs="Arial"/>
          <w:lang w:val="da-DK"/>
        </w:rPr>
        <w:t xml:space="preserve">Flere rekordomsætninger ville være velkomne i år, men man regner ikke med det. "Erfaringerne viser, at vi november og december opnår mere moderate tal", fortæller direktøren. Men han forventer, </w:t>
      </w:r>
      <w:r>
        <w:rPr>
          <w:rFonts w:ascii="Arial" w:hAnsi="Arial" w:cs="Arial"/>
          <w:lang w:val="da-DK"/>
        </w:rPr>
        <w:lastRenderedPageBreak/>
        <w:t>at omsætningen ved årets udgang, ligesom sidste år, vil være på en halv milliard euro.</w:t>
      </w:r>
    </w:p>
    <w:p w:rsidR="00A742E2" w:rsidRDefault="00A742E2" w:rsidP="00AB1002">
      <w:pPr>
        <w:spacing w:after="240" w:line="360" w:lineRule="auto"/>
        <w:ind w:right="1985"/>
        <w:jc w:val="both"/>
        <w:rPr>
          <w:rFonts w:asciiTheme="minorBidi" w:hAnsiTheme="minorBidi" w:cstheme="minorBidi"/>
          <w:lang w:val="da-DK"/>
        </w:rPr>
      </w:pPr>
    </w:p>
    <w:p w:rsidR="00A742E2" w:rsidRDefault="00A742E2" w:rsidP="00A742E2">
      <w:pPr>
        <w:spacing w:after="240" w:line="360" w:lineRule="auto"/>
        <w:ind w:right="1985"/>
        <w:jc w:val="both"/>
        <w:rPr>
          <w:rFonts w:asciiTheme="minorBidi" w:hAnsiTheme="minorBidi" w:cstheme="minorBidi"/>
          <w:b/>
          <w:lang w:val="da-DK"/>
        </w:rPr>
      </w:pPr>
      <w:r w:rsidRPr="008E5104">
        <w:rPr>
          <w:rFonts w:asciiTheme="minorBidi" w:hAnsiTheme="minorBidi" w:cstheme="minorBidi"/>
          <w:b/>
          <w:lang w:val="da-DK"/>
        </w:rPr>
        <w:t>Foto:</w:t>
      </w:r>
    </w:p>
    <w:p w:rsidR="00120D0C" w:rsidRDefault="00120D0C" w:rsidP="00120D0C">
      <w:pPr>
        <w:spacing w:after="240" w:line="360" w:lineRule="auto"/>
        <w:rPr>
          <w:rFonts w:asciiTheme="minorBidi" w:hAnsiTheme="minorBidi"/>
        </w:rPr>
      </w:pPr>
      <w:hyperlink r:id="rId7" w:history="1">
        <w:proofErr w:type="spellStart"/>
        <w:r>
          <w:rPr>
            <w:rStyle w:val="Hyperlink"/>
            <w:rFonts w:asciiTheme="minorBidi" w:hAnsiTheme="minorBidi"/>
          </w:rPr>
          <w:t>olieproduktion</w:t>
        </w:r>
        <w:proofErr w:type="spellEnd"/>
      </w:hyperlink>
      <w:bookmarkStart w:id="0" w:name="_GoBack"/>
      <w:bookmarkEnd w:id="0"/>
    </w:p>
    <w:p w:rsidR="00120D0C" w:rsidRDefault="00120D0C" w:rsidP="00120D0C">
      <w:pPr>
        <w:spacing w:after="240" w:line="360" w:lineRule="auto"/>
        <w:rPr>
          <w:rFonts w:asciiTheme="minorBidi" w:hAnsiTheme="minorBidi"/>
        </w:rPr>
      </w:pPr>
      <w:hyperlink r:id="rId8" w:history="1">
        <w:r w:rsidRPr="00BF7A47">
          <w:rPr>
            <w:rStyle w:val="Hyperlink"/>
            <w:rFonts w:asciiTheme="minorBidi" w:hAnsiTheme="minorBidi"/>
          </w:rPr>
          <w:t>Ernst Prost</w:t>
        </w:r>
      </w:hyperlink>
    </w:p>
    <w:p w:rsidR="00A742E2" w:rsidRDefault="00A742E2" w:rsidP="00AB1002">
      <w:pPr>
        <w:spacing w:after="240" w:line="360" w:lineRule="auto"/>
        <w:ind w:right="1985"/>
        <w:jc w:val="both"/>
        <w:rPr>
          <w:rFonts w:ascii="Arial" w:hAnsi="Arial" w:cs="Arial"/>
        </w:rPr>
      </w:pPr>
    </w:p>
    <w:p w:rsidR="003614CB" w:rsidRPr="003614CB" w:rsidRDefault="003614CB" w:rsidP="00312A40">
      <w:pPr>
        <w:spacing w:line="360" w:lineRule="auto"/>
        <w:ind w:right="1985"/>
        <w:jc w:val="both"/>
        <w:rPr>
          <w:rFonts w:ascii="Arial" w:hAnsi="Arial" w:cs="Arial"/>
          <w:b/>
          <w:bCs/>
        </w:rPr>
      </w:pPr>
      <w:r w:rsidRPr="003614CB">
        <w:rPr>
          <w:rFonts w:ascii="Arial" w:hAnsi="Arial"/>
          <w:b/>
          <w:lang w:val="da-DK" w:eastAsia="da-DK"/>
        </w:rPr>
        <w:t>Om LIQUI MOLY</w:t>
      </w:r>
    </w:p>
    <w:p w:rsidR="003614CB" w:rsidRPr="003614CB" w:rsidRDefault="003614CB" w:rsidP="00BE175A">
      <w:pPr>
        <w:spacing w:after="100" w:afterAutospacing="1" w:line="360" w:lineRule="auto"/>
        <w:ind w:right="1985"/>
        <w:jc w:val="both"/>
        <w:rPr>
          <w:rFonts w:ascii="Arial" w:eastAsia="Malgun Gothic" w:hAnsi="Arial" w:cs="Arial"/>
          <w:b/>
          <w:bCs/>
          <w:color w:val="000000"/>
        </w:rPr>
      </w:pPr>
      <w:r w:rsidRPr="003614CB">
        <w:rPr>
          <w:rFonts w:ascii="Arial" w:hAnsi="Arial"/>
          <w:lang w:val="da-DK" w:eastAsia="da-DK"/>
        </w:rPr>
        <w:t>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bedste oliemærke. Virksomheden</w:t>
      </w:r>
      <w:r w:rsidR="00BE175A">
        <w:rPr>
          <w:rFonts w:ascii="Arial" w:hAnsi="Arial"/>
          <w:lang w:val="da-DK" w:eastAsia="da-DK"/>
        </w:rPr>
        <w:t xml:space="preserve"> </w:t>
      </w:r>
      <w:r w:rsidRPr="003614CB">
        <w:rPr>
          <w:rFonts w:ascii="Arial" w:hAnsi="Arial"/>
          <w:lang w:val="da-DK" w:eastAsia="da-DK"/>
        </w:rPr>
        <w:t>sælger sine produkter i over 120 lande og opnåede i 201</w:t>
      </w:r>
      <w:r w:rsidR="001D6FC2">
        <w:rPr>
          <w:rFonts w:ascii="Arial" w:hAnsi="Arial"/>
          <w:lang w:val="da-DK" w:eastAsia="da-DK"/>
        </w:rPr>
        <w:t>7</w:t>
      </w:r>
      <w:r w:rsidRPr="003614CB">
        <w:rPr>
          <w:rFonts w:ascii="Arial" w:hAnsi="Arial"/>
          <w:lang w:val="da-DK" w:eastAsia="da-DK"/>
        </w:rPr>
        <w:t xml:space="preserve"> en omsætning på EUR </w:t>
      </w:r>
      <w:r w:rsidR="001D6FC2">
        <w:rPr>
          <w:rFonts w:ascii="Arial" w:hAnsi="Arial"/>
          <w:lang w:val="da-DK" w:eastAsia="da-DK"/>
        </w:rPr>
        <w:t>532</w:t>
      </w:r>
      <w:r w:rsidRPr="003614CB">
        <w:rPr>
          <w:rFonts w:ascii="Arial" w:hAnsi="Arial"/>
          <w:lang w:val="da-DK" w:eastAsia="da-DK"/>
        </w:rPr>
        <w:t xml:space="preserve"> mio.</w:t>
      </w:r>
    </w:p>
    <w:p w:rsidR="00312A40" w:rsidRPr="004E4D8A"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4E4D8A">
        <w:rPr>
          <w:rStyle w:val="Fett"/>
          <w:rFonts w:ascii="Arial" w:hAnsi="Arial" w:cs="Arial"/>
          <w:noProof/>
          <w:color w:val="000000"/>
          <w:lang w:val="da-DK"/>
        </w:rPr>
        <w:t>Yderligere informationer fås ved henvendelse til:</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13312D" w:rsidRPr="000A10F2" w:rsidRDefault="00120D0C" w:rsidP="0013312D">
      <w:pPr>
        <w:pStyle w:val="Textkrper"/>
        <w:tabs>
          <w:tab w:val="left" w:pos="6660"/>
          <w:tab w:val="left" w:pos="7020"/>
        </w:tabs>
        <w:spacing w:line="240" w:lineRule="auto"/>
        <w:rPr>
          <w:rFonts w:ascii="Arial" w:hAnsi="Arial" w:cs="Arial"/>
          <w:color w:val="000000"/>
          <w:lang w:val="en-US"/>
        </w:rPr>
      </w:pPr>
      <w:hyperlink r:id="rId9" w:history="1">
        <w:r w:rsidR="0013312D" w:rsidRPr="000A10F2">
          <w:rPr>
            <w:rStyle w:val="Hyperlink"/>
            <w:rFonts w:ascii="Arial" w:hAnsi="Arial" w:cs="Arial"/>
            <w:lang w:val="en-US"/>
          </w:rPr>
          <w:t>peter.szarafinski@liqui-moly.de</w:t>
        </w:r>
      </w:hyperlink>
    </w:p>
    <w:p w:rsidR="00BE175A" w:rsidRDefault="00BE175A" w:rsidP="0013312D">
      <w:pPr>
        <w:widowControl w:val="0"/>
        <w:autoSpaceDE w:val="0"/>
        <w:autoSpaceDN w:val="0"/>
        <w:adjustRightInd w:val="0"/>
        <w:ind w:right="1984"/>
        <w:rPr>
          <w:rStyle w:val="Hyperlink"/>
          <w:rFonts w:ascii="Arial" w:hAnsi="Arial" w:cs="Arial"/>
          <w:noProof/>
          <w:color w:val="000000"/>
          <w:u w:val="none"/>
          <w:lang w:val="en-US"/>
        </w:rPr>
      </w:pPr>
    </w:p>
    <w:sectPr w:rsidR="00BE175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170EB"/>
    <w:rsid w:val="000218FD"/>
    <w:rsid w:val="00022136"/>
    <w:rsid w:val="00023747"/>
    <w:rsid w:val="0002591F"/>
    <w:rsid w:val="00026C4D"/>
    <w:rsid w:val="00032B3B"/>
    <w:rsid w:val="00037C60"/>
    <w:rsid w:val="000569CF"/>
    <w:rsid w:val="00076E87"/>
    <w:rsid w:val="00082C1C"/>
    <w:rsid w:val="00082E95"/>
    <w:rsid w:val="0008336C"/>
    <w:rsid w:val="000835F1"/>
    <w:rsid w:val="00086AEC"/>
    <w:rsid w:val="00090D97"/>
    <w:rsid w:val="00092330"/>
    <w:rsid w:val="00096256"/>
    <w:rsid w:val="000971FE"/>
    <w:rsid w:val="000A72AB"/>
    <w:rsid w:val="000B1FF8"/>
    <w:rsid w:val="000B7DC7"/>
    <w:rsid w:val="000C6DB8"/>
    <w:rsid w:val="000D11F4"/>
    <w:rsid w:val="000D59CA"/>
    <w:rsid w:val="000D6C0F"/>
    <w:rsid w:val="000D7548"/>
    <w:rsid w:val="000E60B9"/>
    <w:rsid w:val="000F192C"/>
    <w:rsid w:val="000F2E74"/>
    <w:rsid w:val="000F462C"/>
    <w:rsid w:val="000F64A7"/>
    <w:rsid w:val="000F6C75"/>
    <w:rsid w:val="00104D23"/>
    <w:rsid w:val="00107945"/>
    <w:rsid w:val="001141A6"/>
    <w:rsid w:val="001155E9"/>
    <w:rsid w:val="00115705"/>
    <w:rsid w:val="00120D0C"/>
    <w:rsid w:val="0012261A"/>
    <w:rsid w:val="00124694"/>
    <w:rsid w:val="001262AE"/>
    <w:rsid w:val="0013312D"/>
    <w:rsid w:val="001470FD"/>
    <w:rsid w:val="00147934"/>
    <w:rsid w:val="001505A7"/>
    <w:rsid w:val="00155FD0"/>
    <w:rsid w:val="001571E2"/>
    <w:rsid w:val="001625F5"/>
    <w:rsid w:val="0016261A"/>
    <w:rsid w:val="00164061"/>
    <w:rsid w:val="00177956"/>
    <w:rsid w:val="001818A8"/>
    <w:rsid w:val="00191127"/>
    <w:rsid w:val="00193DA1"/>
    <w:rsid w:val="0019472C"/>
    <w:rsid w:val="00195E5E"/>
    <w:rsid w:val="001A26C1"/>
    <w:rsid w:val="001A4A31"/>
    <w:rsid w:val="001C530C"/>
    <w:rsid w:val="001C5CBE"/>
    <w:rsid w:val="001D5353"/>
    <w:rsid w:val="001D6FC2"/>
    <w:rsid w:val="001D7B3B"/>
    <w:rsid w:val="001E1DEB"/>
    <w:rsid w:val="001E30F7"/>
    <w:rsid w:val="001E3624"/>
    <w:rsid w:val="001E4255"/>
    <w:rsid w:val="001E4956"/>
    <w:rsid w:val="001E4A07"/>
    <w:rsid w:val="001F34FE"/>
    <w:rsid w:val="001F7766"/>
    <w:rsid w:val="00201127"/>
    <w:rsid w:val="00205AD5"/>
    <w:rsid w:val="00206A96"/>
    <w:rsid w:val="002074AC"/>
    <w:rsid w:val="00212655"/>
    <w:rsid w:val="00213379"/>
    <w:rsid w:val="002206D2"/>
    <w:rsid w:val="00221658"/>
    <w:rsid w:val="002328D3"/>
    <w:rsid w:val="00234B46"/>
    <w:rsid w:val="0024325C"/>
    <w:rsid w:val="002439BC"/>
    <w:rsid w:val="00243A0A"/>
    <w:rsid w:val="00243BF3"/>
    <w:rsid w:val="00243C0A"/>
    <w:rsid w:val="00252988"/>
    <w:rsid w:val="002530B7"/>
    <w:rsid w:val="00264CDF"/>
    <w:rsid w:val="0026758A"/>
    <w:rsid w:val="002733FD"/>
    <w:rsid w:val="00273978"/>
    <w:rsid w:val="00273A04"/>
    <w:rsid w:val="002749B9"/>
    <w:rsid w:val="00283453"/>
    <w:rsid w:val="00292093"/>
    <w:rsid w:val="00292A9C"/>
    <w:rsid w:val="00297EE2"/>
    <w:rsid w:val="002B14FC"/>
    <w:rsid w:val="002C04F8"/>
    <w:rsid w:val="002C6131"/>
    <w:rsid w:val="002D4773"/>
    <w:rsid w:val="002E039F"/>
    <w:rsid w:val="002E58A2"/>
    <w:rsid w:val="002E77D4"/>
    <w:rsid w:val="00304B86"/>
    <w:rsid w:val="00310B6A"/>
    <w:rsid w:val="00312A40"/>
    <w:rsid w:val="0032075E"/>
    <w:rsid w:val="00321607"/>
    <w:rsid w:val="00330243"/>
    <w:rsid w:val="00330DEB"/>
    <w:rsid w:val="003431D8"/>
    <w:rsid w:val="00360D90"/>
    <w:rsid w:val="003614CB"/>
    <w:rsid w:val="003712BF"/>
    <w:rsid w:val="00374BFC"/>
    <w:rsid w:val="003828D9"/>
    <w:rsid w:val="00382BCC"/>
    <w:rsid w:val="00383079"/>
    <w:rsid w:val="00390C77"/>
    <w:rsid w:val="003971A4"/>
    <w:rsid w:val="003A0A26"/>
    <w:rsid w:val="003A12AA"/>
    <w:rsid w:val="003A5628"/>
    <w:rsid w:val="003B200B"/>
    <w:rsid w:val="003B6113"/>
    <w:rsid w:val="003B6C9F"/>
    <w:rsid w:val="003D0B43"/>
    <w:rsid w:val="003E3FFC"/>
    <w:rsid w:val="003E66B4"/>
    <w:rsid w:val="003F20FE"/>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271F5"/>
    <w:rsid w:val="00533111"/>
    <w:rsid w:val="00551283"/>
    <w:rsid w:val="00566750"/>
    <w:rsid w:val="00571341"/>
    <w:rsid w:val="0057441D"/>
    <w:rsid w:val="005747C1"/>
    <w:rsid w:val="00576AB5"/>
    <w:rsid w:val="00581787"/>
    <w:rsid w:val="005848E0"/>
    <w:rsid w:val="00584CC7"/>
    <w:rsid w:val="00586B5F"/>
    <w:rsid w:val="00587A49"/>
    <w:rsid w:val="005971DE"/>
    <w:rsid w:val="005A2340"/>
    <w:rsid w:val="005A375E"/>
    <w:rsid w:val="005A5C07"/>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F1A55"/>
    <w:rsid w:val="006F7434"/>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59DD"/>
    <w:rsid w:val="00840521"/>
    <w:rsid w:val="00842D3E"/>
    <w:rsid w:val="008443BF"/>
    <w:rsid w:val="00845D48"/>
    <w:rsid w:val="008475B8"/>
    <w:rsid w:val="00854B98"/>
    <w:rsid w:val="00861C01"/>
    <w:rsid w:val="00872F73"/>
    <w:rsid w:val="008761C6"/>
    <w:rsid w:val="00887169"/>
    <w:rsid w:val="00891DFE"/>
    <w:rsid w:val="008934FB"/>
    <w:rsid w:val="008945AC"/>
    <w:rsid w:val="00894F14"/>
    <w:rsid w:val="008A7F73"/>
    <w:rsid w:val="008C387B"/>
    <w:rsid w:val="008E00C9"/>
    <w:rsid w:val="008E1FAB"/>
    <w:rsid w:val="008E6E12"/>
    <w:rsid w:val="008F2381"/>
    <w:rsid w:val="008F4C1B"/>
    <w:rsid w:val="008F66A4"/>
    <w:rsid w:val="0090036B"/>
    <w:rsid w:val="00902C09"/>
    <w:rsid w:val="009115CA"/>
    <w:rsid w:val="009171CB"/>
    <w:rsid w:val="00921B3A"/>
    <w:rsid w:val="009377C6"/>
    <w:rsid w:val="00943476"/>
    <w:rsid w:val="00944FDE"/>
    <w:rsid w:val="009530AD"/>
    <w:rsid w:val="00956E2E"/>
    <w:rsid w:val="0096580B"/>
    <w:rsid w:val="00967F13"/>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21F43"/>
    <w:rsid w:val="00A2727A"/>
    <w:rsid w:val="00A279D0"/>
    <w:rsid w:val="00A353F4"/>
    <w:rsid w:val="00A355A4"/>
    <w:rsid w:val="00A444B2"/>
    <w:rsid w:val="00A5690F"/>
    <w:rsid w:val="00A56AE7"/>
    <w:rsid w:val="00A61B3E"/>
    <w:rsid w:val="00A642A6"/>
    <w:rsid w:val="00A72CB9"/>
    <w:rsid w:val="00A73949"/>
    <w:rsid w:val="00A742E2"/>
    <w:rsid w:val="00A751AD"/>
    <w:rsid w:val="00A8196F"/>
    <w:rsid w:val="00A83612"/>
    <w:rsid w:val="00A84D1C"/>
    <w:rsid w:val="00A85015"/>
    <w:rsid w:val="00A87E9E"/>
    <w:rsid w:val="00A97A95"/>
    <w:rsid w:val="00AA5848"/>
    <w:rsid w:val="00AA64FC"/>
    <w:rsid w:val="00AB1002"/>
    <w:rsid w:val="00AB7786"/>
    <w:rsid w:val="00AC0489"/>
    <w:rsid w:val="00AC22C2"/>
    <w:rsid w:val="00AC632F"/>
    <w:rsid w:val="00AC664A"/>
    <w:rsid w:val="00AC7801"/>
    <w:rsid w:val="00AD347A"/>
    <w:rsid w:val="00AD41F1"/>
    <w:rsid w:val="00AE2957"/>
    <w:rsid w:val="00AE53E1"/>
    <w:rsid w:val="00AE7768"/>
    <w:rsid w:val="00AF6E7D"/>
    <w:rsid w:val="00B02406"/>
    <w:rsid w:val="00B053D2"/>
    <w:rsid w:val="00B06ED9"/>
    <w:rsid w:val="00B15E7B"/>
    <w:rsid w:val="00B16A0D"/>
    <w:rsid w:val="00B22196"/>
    <w:rsid w:val="00B234FE"/>
    <w:rsid w:val="00B2624C"/>
    <w:rsid w:val="00B360B8"/>
    <w:rsid w:val="00B470A7"/>
    <w:rsid w:val="00B50692"/>
    <w:rsid w:val="00B51838"/>
    <w:rsid w:val="00B5436B"/>
    <w:rsid w:val="00B66252"/>
    <w:rsid w:val="00B74973"/>
    <w:rsid w:val="00B77D86"/>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D4E7B"/>
    <w:rsid w:val="00BE175A"/>
    <w:rsid w:val="00BE18E7"/>
    <w:rsid w:val="00BE662E"/>
    <w:rsid w:val="00BE6B89"/>
    <w:rsid w:val="00BF0FC0"/>
    <w:rsid w:val="00BF71EB"/>
    <w:rsid w:val="00C03A7B"/>
    <w:rsid w:val="00C134A9"/>
    <w:rsid w:val="00C20AA6"/>
    <w:rsid w:val="00C20E5A"/>
    <w:rsid w:val="00C259BB"/>
    <w:rsid w:val="00C25B7E"/>
    <w:rsid w:val="00C271CC"/>
    <w:rsid w:val="00C275D7"/>
    <w:rsid w:val="00C45EF0"/>
    <w:rsid w:val="00C546C8"/>
    <w:rsid w:val="00C62E03"/>
    <w:rsid w:val="00C67FE9"/>
    <w:rsid w:val="00C72FBF"/>
    <w:rsid w:val="00C73430"/>
    <w:rsid w:val="00C76C83"/>
    <w:rsid w:val="00C862A9"/>
    <w:rsid w:val="00C942E2"/>
    <w:rsid w:val="00CA0A2F"/>
    <w:rsid w:val="00CA1D8E"/>
    <w:rsid w:val="00CA203F"/>
    <w:rsid w:val="00CA3F5D"/>
    <w:rsid w:val="00CA4A38"/>
    <w:rsid w:val="00CB3E6F"/>
    <w:rsid w:val="00CB548E"/>
    <w:rsid w:val="00CB6366"/>
    <w:rsid w:val="00CC121C"/>
    <w:rsid w:val="00CC6201"/>
    <w:rsid w:val="00CD38F3"/>
    <w:rsid w:val="00CD5586"/>
    <w:rsid w:val="00CE2A3E"/>
    <w:rsid w:val="00CE30B2"/>
    <w:rsid w:val="00CE421D"/>
    <w:rsid w:val="00CE7FD3"/>
    <w:rsid w:val="00CF73C0"/>
    <w:rsid w:val="00D00C88"/>
    <w:rsid w:val="00D01475"/>
    <w:rsid w:val="00D1313A"/>
    <w:rsid w:val="00D20B5C"/>
    <w:rsid w:val="00D32BCD"/>
    <w:rsid w:val="00D33EB4"/>
    <w:rsid w:val="00D34CB1"/>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5706"/>
    <w:rsid w:val="00DF1A6E"/>
    <w:rsid w:val="00E07BC9"/>
    <w:rsid w:val="00E2584E"/>
    <w:rsid w:val="00E27145"/>
    <w:rsid w:val="00E31C80"/>
    <w:rsid w:val="00E42BE8"/>
    <w:rsid w:val="00E47DEC"/>
    <w:rsid w:val="00E525FC"/>
    <w:rsid w:val="00E53827"/>
    <w:rsid w:val="00E57D62"/>
    <w:rsid w:val="00E6193F"/>
    <w:rsid w:val="00E65E9F"/>
    <w:rsid w:val="00E6639B"/>
    <w:rsid w:val="00E66B11"/>
    <w:rsid w:val="00E67302"/>
    <w:rsid w:val="00E70EC3"/>
    <w:rsid w:val="00E73710"/>
    <w:rsid w:val="00E76AE2"/>
    <w:rsid w:val="00E834D5"/>
    <w:rsid w:val="00E85226"/>
    <w:rsid w:val="00E85D57"/>
    <w:rsid w:val="00E8683A"/>
    <w:rsid w:val="00E96EAF"/>
    <w:rsid w:val="00EA4C2F"/>
    <w:rsid w:val="00EA6B49"/>
    <w:rsid w:val="00EB3980"/>
    <w:rsid w:val="00EC6043"/>
    <w:rsid w:val="00ED01D2"/>
    <w:rsid w:val="00ED7692"/>
    <w:rsid w:val="00EE7F63"/>
    <w:rsid w:val="00EF01AA"/>
    <w:rsid w:val="00EF0451"/>
    <w:rsid w:val="00EF2BF0"/>
    <w:rsid w:val="00F04825"/>
    <w:rsid w:val="00F04AAE"/>
    <w:rsid w:val="00F270E3"/>
    <w:rsid w:val="00F27627"/>
    <w:rsid w:val="00F37C3B"/>
    <w:rsid w:val="00F4166E"/>
    <w:rsid w:val="00F42623"/>
    <w:rsid w:val="00F42662"/>
    <w:rsid w:val="00F47F14"/>
    <w:rsid w:val="00F55069"/>
    <w:rsid w:val="00F564B1"/>
    <w:rsid w:val="00F56588"/>
    <w:rsid w:val="00F569E1"/>
    <w:rsid w:val="00F619EB"/>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C5966"/>
    <w:rsid w:val="00FD2C65"/>
    <w:rsid w:val="00FD5A1B"/>
    <w:rsid w:val="00FD6F2F"/>
    <w:rsid w:val="00FD7347"/>
    <w:rsid w:val="00FE04A6"/>
    <w:rsid w:val="00FE19DB"/>
    <w:rsid w:val="00FE752F"/>
    <w:rsid w:val="00FF1004"/>
    <w:rsid w:val="00FF56EF"/>
    <w:rsid w:val="00FF5D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 w:type="character" w:styleId="BesuchterHyperlink">
    <w:name w:val="FollowedHyperlink"/>
    <w:basedOn w:val="Absatz-Standardschriftart"/>
    <w:rsid w:val="00A74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28639405">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650210365">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qui-moly.com/fileadmin/user_upload/Presse/Pressemitteilungen_DE/2018/11/Ernst_Prost_Produktion_2.jpg" TargetMode="External"/><Relationship Id="rId3" Type="http://schemas.openxmlformats.org/officeDocument/2006/relationships/settings" Target="settings.xml"/><Relationship Id="rId7" Type="http://schemas.openxmlformats.org/officeDocument/2006/relationships/hyperlink" Target="https://www.liqui-moly.com/fileadmin/user_upload/Presse/Pressemitteilungen_DE/2018/11/Abfuellung_5_Liter_Gebinde_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szarafinski@liqui-mol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2867</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2018-11-16T09:36:00Z</dcterms:created>
  <dcterms:modified xsi:type="dcterms:W3CDTF">2018-11-16T09:36:00Z</dcterms:modified>
</cp:coreProperties>
</file>