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C6204" w14:textId="77777777" w:rsidR="00A52493" w:rsidRDefault="00A52493" w:rsidP="00A52493">
      <w:pPr>
        <w:spacing w:line="360" w:lineRule="auto"/>
        <w:ind w:right="1842"/>
        <w:jc w:val="both"/>
        <w:rPr>
          <w:rFonts w:ascii="Arial" w:hAnsi="Arial" w:cs="Arial"/>
          <w:bCs/>
        </w:rPr>
      </w:pPr>
    </w:p>
    <w:p w14:paraId="5CB5F03C" w14:textId="2601D59F" w:rsidR="00F62B84" w:rsidRPr="00F5410A" w:rsidRDefault="006A7147" w:rsidP="00F62B84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„Klassische</w:t>
      </w:r>
      <w:r w:rsidR="00F62B84" w:rsidRPr="00F5410A">
        <w:rPr>
          <w:rFonts w:ascii="Arial" w:hAnsi="Arial" w:cs="Arial"/>
          <w:b/>
          <w:sz w:val="36"/>
          <w:szCs w:val="36"/>
        </w:rPr>
        <w:t xml:space="preserve"> Getriebeöle </w:t>
      </w:r>
      <w:r>
        <w:rPr>
          <w:rFonts w:ascii="Arial" w:hAnsi="Arial" w:cs="Arial"/>
          <w:b/>
          <w:sz w:val="36"/>
          <w:szCs w:val="36"/>
        </w:rPr>
        <w:t xml:space="preserve">erfüllen die </w:t>
      </w:r>
      <w:r w:rsidR="002B4E96">
        <w:rPr>
          <w:rFonts w:ascii="Arial" w:hAnsi="Arial" w:cs="Arial"/>
          <w:b/>
          <w:sz w:val="36"/>
          <w:szCs w:val="36"/>
        </w:rPr>
        <w:t>höchsten</w:t>
      </w:r>
      <w:bookmarkStart w:id="0" w:name="_GoBack"/>
      <w:bookmarkEnd w:id="0"/>
      <w:r w:rsidR="00826C82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Anforderungen nicht mehr“</w:t>
      </w:r>
    </w:p>
    <w:p w14:paraId="4ACE2156" w14:textId="77777777" w:rsidR="00F62B84" w:rsidRPr="00F5410A" w:rsidRDefault="00F62B84" w:rsidP="00F62B84">
      <w:pPr>
        <w:spacing w:line="360" w:lineRule="auto"/>
        <w:ind w:right="1842"/>
        <w:jc w:val="both"/>
        <w:rPr>
          <w:rFonts w:ascii="Arial" w:hAnsi="Arial" w:cs="Arial"/>
        </w:rPr>
      </w:pPr>
    </w:p>
    <w:p w14:paraId="60E1BD87" w14:textId="35A3F53B" w:rsidR="00F62B84" w:rsidRPr="00F5410A" w:rsidRDefault="006A7147" w:rsidP="00F62B84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Ölexperte Oliver Kuhn von LIQUI MOLY erklärt</w:t>
      </w:r>
      <w:r w:rsidR="001964FA">
        <w:rPr>
          <w:rFonts w:ascii="Arial" w:hAnsi="Arial" w:cs="Arial"/>
          <w:sz w:val="28"/>
          <w:szCs w:val="28"/>
        </w:rPr>
        <w:t xml:space="preserve"> die Besonderheiten moderner Get</w:t>
      </w:r>
      <w:r>
        <w:rPr>
          <w:rFonts w:ascii="Arial" w:hAnsi="Arial" w:cs="Arial"/>
          <w:sz w:val="28"/>
          <w:szCs w:val="28"/>
        </w:rPr>
        <w:t>riebeöle</w:t>
      </w:r>
    </w:p>
    <w:p w14:paraId="4F30C35A" w14:textId="77777777" w:rsidR="00F62B84" w:rsidRPr="00F5410A" w:rsidRDefault="00F62B84" w:rsidP="00F62B84">
      <w:pPr>
        <w:spacing w:line="360" w:lineRule="auto"/>
        <w:ind w:right="1842"/>
        <w:jc w:val="both"/>
        <w:rPr>
          <w:rFonts w:ascii="Arial" w:hAnsi="Arial" w:cs="Arial"/>
        </w:rPr>
      </w:pPr>
    </w:p>
    <w:p w14:paraId="1CC32F56" w14:textId="77777777" w:rsidR="00F62B84" w:rsidRPr="00F5410A" w:rsidRDefault="00F62B84" w:rsidP="00F62B84">
      <w:pPr>
        <w:spacing w:line="360" w:lineRule="auto"/>
        <w:ind w:right="18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September 2017 – </w:t>
      </w:r>
      <w:r w:rsidRPr="00F5410A">
        <w:rPr>
          <w:rFonts w:ascii="Arial" w:hAnsi="Arial" w:cs="Arial"/>
          <w:b/>
        </w:rPr>
        <w:t xml:space="preserve">Mit </w:t>
      </w:r>
      <w:r>
        <w:rPr>
          <w:rFonts w:ascii="Arial" w:hAnsi="Arial" w:cs="Arial"/>
          <w:b/>
        </w:rPr>
        <w:t>den Getriebeölen</w:t>
      </w:r>
      <w:r w:rsidRPr="00F5410A">
        <w:rPr>
          <w:rFonts w:ascii="Arial" w:hAnsi="Arial" w:cs="Arial"/>
          <w:b/>
        </w:rPr>
        <w:t xml:space="preserve"> TOP TEC MTF 5200 75W-80 und dem TOP </w:t>
      </w:r>
      <w:r>
        <w:rPr>
          <w:rFonts w:ascii="Arial" w:hAnsi="Arial" w:cs="Arial"/>
          <w:b/>
        </w:rPr>
        <w:t>TEC MTF 5100 75W</w:t>
      </w:r>
      <w:r w:rsidRPr="00F5410A">
        <w:rPr>
          <w:rFonts w:ascii="Arial" w:hAnsi="Arial" w:cs="Arial"/>
          <w:b/>
        </w:rPr>
        <w:t xml:space="preserve"> kommen gleich zwei neue </w:t>
      </w:r>
      <w:r>
        <w:rPr>
          <w:rFonts w:ascii="Arial" w:hAnsi="Arial" w:cs="Arial"/>
          <w:b/>
        </w:rPr>
        <w:t>Spezialschmierstoffe</w:t>
      </w:r>
      <w:r w:rsidRPr="00F5410A">
        <w:rPr>
          <w:rFonts w:ascii="Arial" w:hAnsi="Arial" w:cs="Arial"/>
          <w:b/>
        </w:rPr>
        <w:t xml:space="preserve"> von LIQUI MOLY auf den Markt. Oliver Kuhn, stellvertretender Leiter des </w:t>
      </w:r>
      <w:proofErr w:type="spellStart"/>
      <w:r w:rsidRPr="00F5410A">
        <w:rPr>
          <w:rFonts w:ascii="Arial" w:hAnsi="Arial" w:cs="Arial"/>
          <w:b/>
        </w:rPr>
        <w:t>Öllabors</w:t>
      </w:r>
      <w:proofErr w:type="spellEnd"/>
      <w:r w:rsidRPr="00F5410A">
        <w:rPr>
          <w:rFonts w:ascii="Arial" w:hAnsi="Arial" w:cs="Arial"/>
          <w:b/>
        </w:rPr>
        <w:t xml:space="preserve"> von LIQUI MOLY, erklärt die Eigenschaften und Einsatzgebiete der beiden neuen Produkte.</w:t>
      </w:r>
    </w:p>
    <w:p w14:paraId="06FBAF57" w14:textId="77777777" w:rsidR="00F62B84" w:rsidRPr="00F5410A" w:rsidRDefault="00F62B84" w:rsidP="00F62B84">
      <w:pPr>
        <w:spacing w:line="360" w:lineRule="auto"/>
        <w:ind w:right="1842"/>
        <w:jc w:val="both"/>
        <w:rPr>
          <w:rFonts w:ascii="Arial" w:hAnsi="Arial" w:cs="Arial"/>
        </w:rPr>
      </w:pPr>
    </w:p>
    <w:p w14:paraId="00825FD2" w14:textId="77777777" w:rsidR="00F62B84" w:rsidRPr="00F5410A" w:rsidRDefault="00F62B84" w:rsidP="00F62B84">
      <w:pPr>
        <w:spacing w:line="360" w:lineRule="auto"/>
        <w:ind w:right="1842"/>
        <w:jc w:val="both"/>
        <w:rPr>
          <w:rFonts w:ascii="Arial" w:hAnsi="Arial" w:cs="Arial"/>
          <w:b/>
        </w:rPr>
      </w:pPr>
      <w:r w:rsidRPr="00F5410A">
        <w:rPr>
          <w:rFonts w:ascii="Arial" w:hAnsi="Arial" w:cs="Arial"/>
          <w:b/>
        </w:rPr>
        <w:t>Was macht die neuen LIQUI MOLY Getriebeöle so besonders bzw. was ist kennzeichnend für sie?</w:t>
      </w:r>
    </w:p>
    <w:p w14:paraId="0FB2CB68" w14:textId="77777777" w:rsidR="00F62B84" w:rsidRPr="00F5410A" w:rsidRDefault="00F62B84" w:rsidP="00F62B84">
      <w:pPr>
        <w:spacing w:line="360" w:lineRule="auto"/>
        <w:ind w:right="1842"/>
        <w:jc w:val="both"/>
        <w:rPr>
          <w:rFonts w:ascii="Arial" w:hAnsi="Arial" w:cs="Arial"/>
        </w:rPr>
      </w:pPr>
      <w:r w:rsidRPr="00F13CD9">
        <w:rPr>
          <w:rFonts w:ascii="Arial" w:hAnsi="Arial" w:cs="Arial"/>
          <w:b/>
        </w:rPr>
        <w:t>Oliver Kuhn:</w:t>
      </w:r>
      <w:r>
        <w:rPr>
          <w:rFonts w:ascii="Arial" w:hAnsi="Arial" w:cs="Arial"/>
        </w:rPr>
        <w:t xml:space="preserve"> </w:t>
      </w:r>
      <w:r w:rsidRPr="00F5410A">
        <w:rPr>
          <w:rFonts w:ascii="Arial" w:hAnsi="Arial" w:cs="Arial"/>
        </w:rPr>
        <w:t>Ähnlich wie bei den Motorölen, hat sich der Getriebeölbereich von den früher recht einfach gehaltenen und kl</w:t>
      </w:r>
      <w:r>
        <w:rPr>
          <w:rFonts w:ascii="Arial" w:hAnsi="Arial" w:cs="Arial"/>
        </w:rPr>
        <w:t>ar getrennten Schalt- und Achs</w:t>
      </w:r>
      <w:r w:rsidRPr="00F5410A">
        <w:rPr>
          <w:rFonts w:ascii="Arial" w:hAnsi="Arial" w:cs="Arial"/>
        </w:rPr>
        <w:t>getriebeölen perm</w:t>
      </w:r>
      <w:r>
        <w:rPr>
          <w:rFonts w:ascii="Arial" w:hAnsi="Arial" w:cs="Arial"/>
        </w:rPr>
        <w:t xml:space="preserve">anent weiterentwickelt. Früher </w:t>
      </w:r>
      <w:r w:rsidRPr="00F5410A">
        <w:rPr>
          <w:rFonts w:ascii="Arial" w:hAnsi="Arial" w:cs="Arial"/>
        </w:rPr>
        <w:t xml:space="preserve">mussten die erwähnten Schaltgetriebeöle eher mild </w:t>
      </w:r>
      <w:proofErr w:type="spellStart"/>
      <w:r w:rsidRPr="00F5410A">
        <w:rPr>
          <w:rFonts w:ascii="Arial" w:hAnsi="Arial" w:cs="Arial"/>
        </w:rPr>
        <w:t>additiviert</w:t>
      </w:r>
      <w:proofErr w:type="spellEnd"/>
      <w:r w:rsidRPr="00F5410A">
        <w:rPr>
          <w:rFonts w:ascii="Arial" w:hAnsi="Arial" w:cs="Arial"/>
        </w:rPr>
        <w:t xml:space="preserve"> werden, </w:t>
      </w:r>
      <w:r>
        <w:rPr>
          <w:rFonts w:ascii="Arial" w:hAnsi="Arial" w:cs="Arial"/>
        </w:rPr>
        <w:t xml:space="preserve">um ihr Verhalten gegenüber den </w:t>
      </w:r>
      <w:r w:rsidRPr="00F5410A">
        <w:rPr>
          <w:rFonts w:ascii="Arial" w:hAnsi="Arial" w:cs="Arial"/>
        </w:rPr>
        <w:t>Synchronringen de</w:t>
      </w:r>
      <w:r>
        <w:rPr>
          <w:rFonts w:ascii="Arial" w:hAnsi="Arial" w:cs="Arial"/>
        </w:rPr>
        <w:t xml:space="preserve">mentsprechend zu steuern. </w:t>
      </w:r>
      <w:r w:rsidRPr="00F5410A">
        <w:rPr>
          <w:rFonts w:ascii="Arial" w:hAnsi="Arial" w:cs="Arial"/>
        </w:rPr>
        <w:t xml:space="preserve">Im Gegensatz dazu waren die </w:t>
      </w:r>
      <w:proofErr w:type="spellStart"/>
      <w:r w:rsidRPr="00F5410A">
        <w:rPr>
          <w:rFonts w:ascii="Arial" w:hAnsi="Arial" w:cs="Arial"/>
        </w:rPr>
        <w:t>Achsöle</w:t>
      </w:r>
      <w:proofErr w:type="spellEnd"/>
      <w:r w:rsidRPr="00F5410A">
        <w:rPr>
          <w:rFonts w:ascii="Arial" w:hAnsi="Arial" w:cs="Arial"/>
        </w:rPr>
        <w:t xml:space="preserve"> deutlich höher </w:t>
      </w:r>
      <w:proofErr w:type="spellStart"/>
      <w:r w:rsidRPr="00F5410A">
        <w:rPr>
          <w:rFonts w:ascii="Arial" w:hAnsi="Arial" w:cs="Arial"/>
        </w:rPr>
        <w:t>additiviert</w:t>
      </w:r>
      <w:proofErr w:type="spellEnd"/>
      <w:r w:rsidRPr="00F5410A">
        <w:rPr>
          <w:rFonts w:ascii="Arial" w:hAnsi="Arial" w:cs="Arial"/>
        </w:rPr>
        <w:t>, da in d</w:t>
      </w:r>
      <w:r>
        <w:rPr>
          <w:rFonts w:ascii="Arial" w:hAnsi="Arial" w:cs="Arial"/>
        </w:rPr>
        <w:t xml:space="preserve">iesen Aggregaten üblicherweise </w:t>
      </w:r>
      <w:r w:rsidRPr="00F5410A">
        <w:rPr>
          <w:rFonts w:ascii="Arial" w:hAnsi="Arial" w:cs="Arial"/>
        </w:rPr>
        <w:t>höhere Drücke herrschen. Diese Trennung ist heute oftmals nicht mehr g</w:t>
      </w:r>
      <w:r>
        <w:rPr>
          <w:rFonts w:ascii="Arial" w:hAnsi="Arial" w:cs="Arial"/>
        </w:rPr>
        <w:t xml:space="preserve">egeben, im Getriebe ist gleich </w:t>
      </w:r>
      <w:r w:rsidRPr="00F5410A">
        <w:rPr>
          <w:rFonts w:ascii="Arial" w:hAnsi="Arial" w:cs="Arial"/>
        </w:rPr>
        <w:t>alles auf einmal verbaut.</w:t>
      </w:r>
    </w:p>
    <w:p w14:paraId="59320A17" w14:textId="77777777" w:rsidR="00F62B84" w:rsidRPr="00F5410A" w:rsidRDefault="00F62B84" w:rsidP="00F62B84">
      <w:pPr>
        <w:spacing w:line="360" w:lineRule="auto"/>
        <w:ind w:right="1842"/>
        <w:jc w:val="both"/>
        <w:rPr>
          <w:rFonts w:ascii="Arial" w:hAnsi="Arial" w:cs="Arial"/>
        </w:rPr>
      </w:pPr>
      <w:r w:rsidRPr="00F5410A">
        <w:rPr>
          <w:rFonts w:ascii="Arial" w:hAnsi="Arial" w:cs="Arial"/>
        </w:rPr>
        <w:t>Heute müssen die Pro</w:t>
      </w:r>
      <w:r>
        <w:rPr>
          <w:rFonts w:ascii="Arial" w:hAnsi="Arial" w:cs="Arial"/>
        </w:rPr>
        <w:t>dukte gleich mehrere Eigenschaf</w:t>
      </w:r>
      <w:r w:rsidRPr="00F5410A">
        <w:rPr>
          <w:rFonts w:ascii="Arial" w:hAnsi="Arial" w:cs="Arial"/>
        </w:rPr>
        <w:t>ten miteinander verbinden. Die klassischen Öle können oftmals nicht mehr verwendet werden. Neue Materialien machen es notwendig, auf neue Additivverbindungen zu setzen. Hinzu kommt, ganz ähnlic</w:t>
      </w:r>
      <w:r>
        <w:rPr>
          <w:rFonts w:ascii="Arial" w:hAnsi="Arial" w:cs="Arial"/>
        </w:rPr>
        <w:t>h wie im Motoröl</w:t>
      </w:r>
      <w:r w:rsidRPr="00F5410A">
        <w:rPr>
          <w:rFonts w:ascii="Arial" w:hAnsi="Arial" w:cs="Arial"/>
        </w:rPr>
        <w:t xml:space="preserve">bereich, der Trend zu immer dünneren Ölen. Waren früher Öle wie SAE 85W-90 oder 80W-90 üblich, ging man zu SAE </w:t>
      </w:r>
      <w:r w:rsidRPr="00F5410A">
        <w:rPr>
          <w:rFonts w:ascii="Arial" w:hAnsi="Arial" w:cs="Arial"/>
        </w:rPr>
        <w:lastRenderedPageBreak/>
        <w:t>75W-90 und ist heute bei 75W oder 75W-80. Man nutzt di</w:t>
      </w:r>
      <w:r>
        <w:rPr>
          <w:rFonts w:ascii="Arial" w:hAnsi="Arial" w:cs="Arial"/>
        </w:rPr>
        <w:t>e niedrigere Viskosität, um Rei</w:t>
      </w:r>
      <w:r w:rsidRPr="00F5410A">
        <w:rPr>
          <w:rFonts w:ascii="Arial" w:hAnsi="Arial" w:cs="Arial"/>
        </w:rPr>
        <w:t>bungsverluste zu minimieren und dadurch Kraftstoff zu sparen. Und genau das machen auch</w:t>
      </w:r>
      <w:r>
        <w:rPr>
          <w:rFonts w:ascii="Arial" w:hAnsi="Arial" w:cs="Arial"/>
        </w:rPr>
        <w:t xml:space="preserve"> die</w:t>
      </w:r>
      <w:r w:rsidRPr="00F5410A">
        <w:rPr>
          <w:rFonts w:ascii="Arial" w:hAnsi="Arial" w:cs="Arial"/>
        </w:rPr>
        <w:t xml:space="preserve"> beide</w:t>
      </w:r>
      <w:r>
        <w:rPr>
          <w:rFonts w:ascii="Arial" w:hAnsi="Arial" w:cs="Arial"/>
        </w:rPr>
        <w:t>n</w:t>
      </w:r>
      <w:r w:rsidRPr="00F5410A">
        <w:rPr>
          <w:rFonts w:ascii="Arial" w:hAnsi="Arial" w:cs="Arial"/>
        </w:rPr>
        <w:t xml:space="preserve"> neuen Getriebeöle, die sich vor allem in ihren Einsatzbereichen unterscheiden. </w:t>
      </w:r>
    </w:p>
    <w:p w14:paraId="6FBA0A7A" w14:textId="77777777" w:rsidR="00F62B84" w:rsidRPr="00F5410A" w:rsidRDefault="00F62B84" w:rsidP="00F62B84">
      <w:pPr>
        <w:spacing w:line="360" w:lineRule="auto"/>
        <w:ind w:right="1842"/>
        <w:jc w:val="both"/>
        <w:rPr>
          <w:rFonts w:ascii="Arial" w:hAnsi="Arial" w:cs="Arial"/>
        </w:rPr>
      </w:pPr>
    </w:p>
    <w:p w14:paraId="4F30E50D" w14:textId="77777777" w:rsidR="00F62B84" w:rsidRPr="00F5410A" w:rsidRDefault="00F62B84" w:rsidP="00F62B84">
      <w:pPr>
        <w:spacing w:line="360" w:lineRule="auto"/>
        <w:ind w:right="1842"/>
        <w:jc w:val="both"/>
        <w:rPr>
          <w:rFonts w:ascii="Arial" w:hAnsi="Arial" w:cs="Arial"/>
          <w:b/>
        </w:rPr>
      </w:pPr>
      <w:r w:rsidRPr="00F5410A">
        <w:rPr>
          <w:rFonts w:ascii="Arial" w:hAnsi="Arial" w:cs="Arial"/>
          <w:b/>
        </w:rPr>
        <w:t>Welche Einsatzgebiete gibt es für die neuen Getriebeöle?</w:t>
      </w:r>
    </w:p>
    <w:p w14:paraId="3DA689DF" w14:textId="77777777" w:rsidR="00F62B84" w:rsidRDefault="00F62B84" w:rsidP="00F62B84">
      <w:pPr>
        <w:spacing w:line="360" w:lineRule="auto"/>
        <w:ind w:right="1842"/>
        <w:jc w:val="both"/>
        <w:rPr>
          <w:rFonts w:ascii="Arial" w:hAnsi="Arial" w:cs="Arial"/>
        </w:rPr>
      </w:pPr>
      <w:r w:rsidRPr="00F13CD9">
        <w:rPr>
          <w:rFonts w:ascii="Arial" w:hAnsi="Arial" w:cs="Arial"/>
          <w:b/>
        </w:rPr>
        <w:t>Oliver Kuhn:</w:t>
      </w:r>
      <w:r>
        <w:rPr>
          <w:rFonts w:ascii="Arial" w:hAnsi="Arial" w:cs="Arial"/>
        </w:rPr>
        <w:t xml:space="preserve"> </w:t>
      </w:r>
      <w:r w:rsidRPr="00F5410A">
        <w:rPr>
          <w:rFonts w:ascii="Arial" w:hAnsi="Arial" w:cs="Arial"/>
        </w:rPr>
        <w:t>Aufgrund der immer differenzierteren Ölanforderungen der Automobilhersteller ergeben sich bei diesen Getriebeöle</w:t>
      </w:r>
      <w:r>
        <w:rPr>
          <w:rFonts w:ascii="Arial" w:hAnsi="Arial" w:cs="Arial"/>
        </w:rPr>
        <w:t>n neue Einsatzgebiete. Reibungs</w:t>
      </w:r>
      <w:r w:rsidRPr="00F5410A">
        <w:rPr>
          <w:rFonts w:ascii="Arial" w:hAnsi="Arial" w:cs="Arial"/>
        </w:rPr>
        <w:t>charakter</w:t>
      </w:r>
      <w:r>
        <w:rPr>
          <w:rFonts w:ascii="Arial" w:hAnsi="Arial" w:cs="Arial"/>
        </w:rPr>
        <w:t>istik, Materialverträglichkeit, Druckauf</w:t>
      </w:r>
      <w:r w:rsidRPr="00F5410A">
        <w:rPr>
          <w:rFonts w:ascii="Arial" w:hAnsi="Arial" w:cs="Arial"/>
        </w:rPr>
        <w:t xml:space="preserve">nahme oder auch Viskosität rücken immer mehr in den Vordergrund. Die neuen Getriebeöle ermöglichen es also, die Anforderungen moderner PKW-Schaltgetriebe abzudecken, wozu klassische Schaltgetriebeöle nicht </w:t>
      </w:r>
      <w:r>
        <w:rPr>
          <w:rFonts w:ascii="Arial" w:hAnsi="Arial" w:cs="Arial"/>
        </w:rPr>
        <w:t>mehr in der Lage sind.</w:t>
      </w:r>
    </w:p>
    <w:p w14:paraId="3435014E" w14:textId="67ECE50B" w:rsidR="000A0736" w:rsidRPr="007A335D" w:rsidRDefault="00F62B84" w:rsidP="000A0736">
      <w:pPr>
        <w:spacing w:line="360" w:lineRule="auto"/>
        <w:ind w:right="1842"/>
        <w:jc w:val="both"/>
        <w:rPr>
          <w:rFonts w:ascii="Arial" w:hAnsi="Arial" w:cs="Arial"/>
        </w:rPr>
      </w:pPr>
      <w:r w:rsidRPr="00F5410A">
        <w:rPr>
          <w:rFonts w:ascii="Arial" w:hAnsi="Arial" w:cs="Arial"/>
        </w:rPr>
        <w:t>Wenn man in diesem Bereich den Markt für japanische und amerikanische PKW betrachtet, wird deutlich, dass hier in der Tat noch viele Hersteller auf API GL 4 und API GL 5 setzen und deshalb auch noch ältere Getriebeöle zulassen. Im europäischen OEM-Bereich gibt es hier die größte Differenzierung, außereuropäisch hält sich dieser Trend noch in Grenzen. Ähnlich wie bei den Motorölen ist es auch hier so, da</w:t>
      </w:r>
      <w:r>
        <w:rPr>
          <w:rFonts w:ascii="Arial" w:hAnsi="Arial" w:cs="Arial"/>
        </w:rPr>
        <w:t xml:space="preserve">ss die Freigaben API und ILSAC </w:t>
      </w:r>
      <w:r w:rsidRPr="00F5410A">
        <w:rPr>
          <w:rFonts w:ascii="Arial" w:hAnsi="Arial" w:cs="Arial"/>
        </w:rPr>
        <w:t>wesentlich geringer unterscheiden und im Kontrast dazu in Europa</w:t>
      </w:r>
      <w:r>
        <w:rPr>
          <w:rFonts w:ascii="Arial" w:hAnsi="Arial" w:cs="Arial"/>
        </w:rPr>
        <w:t xml:space="preserve"> die ACEA sowie die OEM um ein </w:t>
      </w:r>
      <w:r w:rsidRPr="00F5410A">
        <w:rPr>
          <w:rFonts w:ascii="Arial" w:hAnsi="Arial" w:cs="Arial"/>
        </w:rPr>
        <w:t>Vielfaches komplexer sind.</w:t>
      </w:r>
    </w:p>
    <w:p w14:paraId="02ED5C06" w14:textId="77777777" w:rsidR="00934915" w:rsidRDefault="00934915" w:rsidP="0085065F">
      <w:pPr>
        <w:keepNext/>
        <w:keepLines/>
        <w:spacing w:line="360" w:lineRule="auto"/>
        <w:ind w:right="1985"/>
        <w:jc w:val="both"/>
        <w:rPr>
          <w:rFonts w:ascii="Arial" w:hAnsi="Arial" w:cs="Arial"/>
          <w:b/>
          <w:bCs/>
          <w:sz w:val="22"/>
          <w:szCs w:val="22"/>
        </w:rPr>
      </w:pPr>
    </w:p>
    <w:p w14:paraId="707FD018" w14:textId="77777777" w:rsidR="000A0736" w:rsidRPr="00484350" w:rsidRDefault="000A0736" w:rsidP="0085065F">
      <w:pPr>
        <w:keepNext/>
        <w:keepLines/>
        <w:spacing w:line="360" w:lineRule="auto"/>
        <w:ind w:right="1985"/>
        <w:jc w:val="both"/>
        <w:rPr>
          <w:rFonts w:ascii="Arial" w:hAnsi="Arial" w:cs="Arial"/>
          <w:b/>
          <w:bCs/>
          <w:sz w:val="22"/>
          <w:szCs w:val="22"/>
        </w:rPr>
      </w:pPr>
    </w:p>
    <w:p w14:paraId="66F0117E" w14:textId="77777777" w:rsidR="00484350" w:rsidRPr="00965678" w:rsidRDefault="00484350" w:rsidP="00484350">
      <w:pPr>
        <w:spacing w:line="360" w:lineRule="auto"/>
        <w:ind w:right="1842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14:paraId="22DBFB46" w14:textId="77777777" w:rsidR="00484350" w:rsidRDefault="00484350" w:rsidP="00484350">
      <w:pPr>
        <w:spacing w:line="360" w:lineRule="auto"/>
        <w:ind w:right="1842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ausschließlich in Deutschland. Dort ist es unangefochtener Marktführer bei Additiven und wird immer wieder zur besten </w:t>
      </w:r>
      <w:proofErr w:type="spellStart"/>
      <w:r w:rsidRPr="00965678">
        <w:rPr>
          <w:rFonts w:ascii="Arial" w:hAnsi="Arial" w:cs="Arial"/>
        </w:rPr>
        <w:t>Ölmarke</w:t>
      </w:r>
      <w:proofErr w:type="spellEnd"/>
      <w:r w:rsidRPr="00965678">
        <w:rPr>
          <w:rFonts w:ascii="Arial" w:hAnsi="Arial" w:cs="Arial"/>
        </w:rPr>
        <w:t xml:space="preserve"> gewählt. </w:t>
      </w:r>
      <w:r w:rsidR="00CE7EB6" w:rsidRPr="00965678">
        <w:rPr>
          <w:rFonts w:ascii="Arial" w:hAnsi="Arial" w:cs="Arial"/>
        </w:rPr>
        <w:t xml:space="preserve">Das von Inhaber Ernst Prost geführte Unternehmen </w:t>
      </w:r>
      <w:r w:rsidR="00CE7EB6" w:rsidRPr="00965678">
        <w:rPr>
          <w:rFonts w:ascii="Arial" w:hAnsi="Arial" w:cs="Arial"/>
        </w:rPr>
        <w:lastRenderedPageBreak/>
        <w:t>verkauft seine Produkte in über 120 Ländern und erwirtschaftete im vergangenen Jahr einen Umsatz von 489 Mio. Euro.</w:t>
      </w:r>
    </w:p>
    <w:p w14:paraId="6C437781" w14:textId="77777777" w:rsidR="005A45DF" w:rsidRDefault="005A45DF" w:rsidP="00484350">
      <w:pPr>
        <w:spacing w:line="360" w:lineRule="auto"/>
        <w:rPr>
          <w:rFonts w:ascii="Arial" w:hAnsi="Arial" w:cs="Arial"/>
        </w:rPr>
      </w:pPr>
    </w:p>
    <w:p w14:paraId="162A83B1" w14:textId="77777777" w:rsidR="000A0736" w:rsidRPr="00965678" w:rsidRDefault="000A0736" w:rsidP="00484350">
      <w:pPr>
        <w:spacing w:line="360" w:lineRule="auto"/>
        <w:rPr>
          <w:rFonts w:ascii="Arial" w:hAnsi="Arial" w:cs="Arial"/>
        </w:rPr>
      </w:pPr>
    </w:p>
    <w:p w14:paraId="118CEAF4" w14:textId="7C79E336" w:rsidR="0040430D" w:rsidRPr="00965678" w:rsidRDefault="0040430D" w:rsidP="00FE17CD">
      <w:pPr>
        <w:rPr>
          <w:rFonts w:ascii="Arial" w:hAnsi="Arial" w:cs="Arial"/>
          <w:b/>
        </w:rPr>
      </w:pPr>
      <w:r w:rsidRPr="00965678">
        <w:rPr>
          <w:rFonts w:ascii="Arial" w:hAnsi="Arial" w:cs="Arial"/>
          <w:b/>
        </w:rPr>
        <w:t>Weitere Informationen erhalten Sie bei</w:t>
      </w:r>
    </w:p>
    <w:p w14:paraId="661E3E19" w14:textId="77777777"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LIQUI MOLY GmbH</w:t>
      </w:r>
    </w:p>
    <w:p w14:paraId="31412C69" w14:textId="77777777"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Tobias </w:t>
      </w:r>
      <w:r w:rsidR="00F65BCE" w:rsidRPr="00965678">
        <w:rPr>
          <w:rFonts w:ascii="Arial" w:hAnsi="Arial" w:cs="Arial"/>
        </w:rPr>
        <w:t>Gerstlauer</w:t>
      </w:r>
    </w:p>
    <w:p w14:paraId="2C517E21" w14:textId="77777777"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Leiter Öffentlichkeitsarbeit </w:t>
      </w:r>
      <w:r w:rsidR="002D0B31" w:rsidRPr="00965678">
        <w:rPr>
          <w:rFonts w:ascii="Arial" w:hAnsi="Arial" w:cs="Arial"/>
        </w:rPr>
        <w:t>D/A/CH</w:t>
      </w:r>
    </w:p>
    <w:p w14:paraId="4D60847D" w14:textId="77777777"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proofErr w:type="spellStart"/>
      <w:r w:rsidRPr="00965678">
        <w:rPr>
          <w:rFonts w:ascii="Arial" w:hAnsi="Arial" w:cs="Arial"/>
        </w:rPr>
        <w:t>Jerg</w:t>
      </w:r>
      <w:proofErr w:type="spellEnd"/>
      <w:r w:rsidRPr="00965678">
        <w:rPr>
          <w:rFonts w:ascii="Arial" w:hAnsi="Arial" w:cs="Arial"/>
        </w:rPr>
        <w:t>-Wieland-Str. 4</w:t>
      </w:r>
    </w:p>
    <w:p w14:paraId="0AC79AB6" w14:textId="77777777"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89081 Ulm-Lehr</w:t>
      </w:r>
    </w:p>
    <w:p w14:paraId="2686EFCA" w14:textId="77777777"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Fon: +49 (0)731/1420-890</w:t>
      </w:r>
    </w:p>
    <w:p w14:paraId="21A9F0A7" w14:textId="77777777"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Fax: +49 (0)731/1420-82</w:t>
      </w:r>
    </w:p>
    <w:p w14:paraId="0F81E919" w14:textId="77777777" w:rsidR="0040430D" w:rsidRPr="00965678" w:rsidRDefault="0040430D" w:rsidP="00484350">
      <w:pPr>
        <w:spacing w:line="360" w:lineRule="auto"/>
        <w:rPr>
          <w:rFonts w:ascii="Arial" w:hAnsi="Arial" w:cs="Arial"/>
        </w:rPr>
      </w:pPr>
      <w:r w:rsidRPr="00965678">
        <w:rPr>
          <w:rFonts w:ascii="Arial" w:hAnsi="Arial" w:cs="Arial"/>
        </w:rPr>
        <w:t>Tobias.</w:t>
      </w:r>
      <w:r w:rsidR="00F65BCE" w:rsidRPr="00965678">
        <w:rPr>
          <w:rFonts w:ascii="Arial" w:hAnsi="Arial" w:cs="Arial"/>
        </w:rPr>
        <w:t>Gerstlauer</w:t>
      </w:r>
      <w:r w:rsidRPr="00965678">
        <w:rPr>
          <w:rFonts w:ascii="Arial" w:hAnsi="Arial" w:cs="Arial"/>
        </w:rPr>
        <w:t>@liqui-moly.de</w:t>
      </w:r>
    </w:p>
    <w:sectPr w:rsidR="0040430D" w:rsidRPr="009656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73E57" w14:textId="77777777" w:rsidR="00C50DB9" w:rsidRDefault="00C50DB9">
      <w:r>
        <w:separator/>
      </w:r>
    </w:p>
  </w:endnote>
  <w:endnote w:type="continuationSeparator" w:id="0">
    <w:p w14:paraId="7E1554AD" w14:textId="77777777" w:rsidR="00C50DB9" w:rsidRDefault="00C5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50136" w14:textId="77777777"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09C6CCD" w14:textId="77777777" w:rsidR="006C5E10" w:rsidRDefault="006C5E10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B0D87" w14:textId="77777777"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B4E96">
      <w:rPr>
        <w:rStyle w:val="Seitenzahl"/>
        <w:noProof/>
      </w:rPr>
      <w:t>3</w:t>
    </w:r>
    <w:r>
      <w:rPr>
        <w:rStyle w:val="Seitenzahl"/>
      </w:rPr>
      <w:fldChar w:fldCharType="end"/>
    </w:r>
  </w:p>
  <w:p w14:paraId="04B2EDE1" w14:textId="77777777" w:rsidR="006C5E10" w:rsidRDefault="006C5E10" w:rsidP="004B37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42D3F" w14:textId="77777777" w:rsidR="00310899" w:rsidRDefault="0031089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E307E" w14:textId="77777777" w:rsidR="00C50DB9" w:rsidRDefault="00C50DB9">
      <w:r>
        <w:separator/>
      </w:r>
    </w:p>
  </w:footnote>
  <w:footnote w:type="continuationSeparator" w:id="0">
    <w:p w14:paraId="39AF406E" w14:textId="77777777" w:rsidR="00C50DB9" w:rsidRDefault="00C50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60FAE" w14:textId="77777777" w:rsidR="00310899" w:rsidRDefault="0031089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66D65" w14:textId="1C7465C0" w:rsidR="006C5E10" w:rsidRDefault="0064124A">
    <w:pPr>
      <w:pStyle w:val="Kopfzeile"/>
    </w:pPr>
    <w:r>
      <w:rPr>
        <w:noProof/>
      </w:rPr>
      <w:drawing>
        <wp:inline distT="0" distB="0" distL="0" distR="0" wp14:anchorId="39BF0D9F" wp14:editId="717A6C71">
          <wp:extent cx="5752465" cy="682625"/>
          <wp:effectExtent l="0" t="0" r="635" b="3175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E6C5F" w14:textId="77777777" w:rsidR="00310899" w:rsidRDefault="0031089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E"/>
    <w:rsid w:val="00086DFE"/>
    <w:rsid w:val="000A0736"/>
    <w:rsid w:val="000B59EC"/>
    <w:rsid w:val="000B64E7"/>
    <w:rsid w:val="000C5B8D"/>
    <w:rsid w:val="000E51FA"/>
    <w:rsid w:val="00101153"/>
    <w:rsid w:val="00193B48"/>
    <w:rsid w:val="001964FA"/>
    <w:rsid w:val="00253914"/>
    <w:rsid w:val="00276BDD"/>
    <w:rsid w:val="002A3A55"/>
    <w:rsid w:val="002B4E96"/>
    <w:rsid w:val="002D0B31"/>
    <w:rsid w:val="002D0EB0"/>
    <w:rsid w:val="0030271C"/>
    <w:rsid w:val="00310899"/>
    <w:rsid w:val="00355275"/>
    <w:rsid w:val="003A5025"/>
    <w:rsid w:val="003B4B0A"/>
    <w:rsid w:val="003D1264"/>
    <w:rsid w:val="0040430D"/>
    <w:rsid w:val="0046357E"/>
    <w:rsid w:val="00484350"/>
    <w:rsid w:val="00493A27"/>
    <w:rsid w:val="004A418D"/>
    <w:rsid w:val="004B378E"/>
    <w:rsid w:val="004F50E1"/>
    <w:rsid w:val="005808EA"/>
    <w:rsid w:val="005919C9"/>
    <w:rsid w:val="005A45DF"/>
    <w:rsid w:val="005B47C2"/>
    <w:rsid w:val="005D76AF"/>
    <w:rsid w:val="00605807"/>
    <w:rsid w:val="00614549"/>
    <w:rsid w:val="0064124A"/>
    <w:rsid w:val="00677650"/>
    <w:rsid w:val="006A7147"/>
    <w:rsid w:val="006B002E"/>
    <w:rsid w:val="006B12A8"/>
    <w:rsid w:val="006C5E10"/>
    <w:rsid w:val="006F28C3"/>
    <w:rsid w:val="00730A91"/>
    <w:rsid w:val="00760CD7"/>
    <w:rsid w:val="00767BB0"/>
    <w:rsid w:val="007C6B08"/>
    <w:rsid w:val="00801207"/>
    <w:rsid w:val="00826C82"/>
    <w:rsid w:val="0085065F"/>
    <w:rsid w:val="008B15DD"/>
    <w:rsid w:val="008E3CD1"/>
    <w:rsid w:val="00934915"/>
    <w:rsid w:val="009640E3"/>
    <w:rsid w:val="00965678"/>
    <w:rsid w:val="009C1FDC"/>
    <w:rsid w:val="009C3944"/>
    <w:rsid w:val="00A52493"/>
    <w:rsid w:val="00A54CED"/>
    <w:rsid w:val="00A560AB"/>
    <w:rsid w:val="00AA7AF8"/>
    <w:rsid w:val="00AC706E"/>
    <w:rsid w:val="00B55BB5"/>
    <w:rsid w:val="00B77095"/>
    <w:rsid w:val="00B87BF5"/>
    <w:rsid w:val="00BA52B6"/>
    <w:rsid w:val="00BD2739"/>
    <w:rsid w:val="00C26157"/>
    <w:rsid w:val="00C50DB9"/>
    <w:rsid w:val="00C71B54"/>
    <w:rsid w:val="00CE7EB6"/>
    <w:rsid w:val="00D10048"/>
    <w:rsid w:val="00D46609"/>
    <w:rsid w:val="00D729B1"/>
    <w:rsid w:val="00DD3D61"/>
    <w:rsid w:val="00E07F71"/>
    <w:rsid w:val="00E2079C"/>
    <w:rsid w:val="00E57DF9"/>
    <w:rsid w:val="00EC218A"/>
    <w:rsid w:val="00EC4438"/>
    <w:rsid w:val="00F13CD9"/>
    <w:rsid w:val="00F54028"/>
    <w:rsid w:val="00F54331"/>
    <w:rsid w:val="00F62B84"/>
    <w:rsid w:val="00F65BCE"/>
    <w:rsid w:val="00F7400B"/>
    <w:rsid w:val="00F93D06"/>
    <w:rsid w:val="00FA4F22"/>
    <w:rsid w:val="00FB78CA"/>
    <w:rsid w:val="00FC10B0"/>
    <w:rsid w:val="00FD5E2A"/>
    <w:rsid w:val="00FE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6951870"/>
  <w15:chartTrackingRefBased/>
  <w15:docId w15:val="{0FC0AA9E-B02F-4BE4-92D2-0664E472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30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378E"/>
    <w:pPr>
      <w:keepNext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6D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6DF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B378E"/>
    <w:pPr>
      <w:spacing w:line="360" w:lineRule="auto"/>
      <w:jc w:val="both"/>
    </w:pPr>
  </w:style>
  <w:style w:type="character" w:styleId="Seitenzahl">
    <w:name w:val="page number"/>
    <w:basedOn w:val="Absatz-Standardschriftart"/>
    <w:rsid w:val="004B378E"/>
  </w:style>
  <w:style w:type="paragraph" w:styleId="StandardWeb">
    <w:name w:val="Normal (Web)"/>
    <w:basedOn w:val="Standard"/>
    <w:rsid w:val="00355275"/>
    <w:pPr>
      <w:spacing w:before="100" w:beforeAutospacing="1" w:after="100" w:afterAutospacing="1"/>
    </w:pPr>
    <w:rPr>
      <w:color w:val="000000"/>
    </w:rPr>
  </w:style>
  <w:style w:type="character" w:styleId="Fett">
    <w:name w:val="Strong"/>
    <w:qFormat/>
    <w:rsid w:val="00355275"/>
    <w:rPr>
      <w:b/>
      <w:bCs/>
    </w:rPr>
  </w:style>
  <w:style w:type="character" w:styleId="Hyperlink">
    <w:name w:val="Hyperlink"/>
    <w:rsid w:val="00355275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5B47C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B47C2"/>
    <w:rPr>
      <w:rFonts w:asciiTheme="minorHAnsi" w:eastAsiaTheme="minorHAnsi" w:hAnsiTheme="minorHAnsi" w:cstheme="minorBidi"/>
      <w:lang w:eastAsia="en-US"/>
    </w:rPr>
  </w:style>
  <w:style w:type="character" w:styleId="Kommentarzeichen">
    <w:name w:val="annotation reference"/>
    <w:basedOn w:val="Absatz-Standardschriftart"/>
    <w:uiPriority w:val="99"/>
    <w:unhideWhenUsed/>
    <w:rsid w:val="005B47C2"/>
    <w:rPr>
      <w:sz w:val="16"/>
      <w:szCs w:val="16"/>
    </w:rPr>
  </w:style>
  <w:style w:type="paragraph" w:styleId="Sprechblasentext">
    <w:name w:val="Balloon Text"/>
    <w:basedOn w:val="Standard"/>
    <w:link w:val="SprechblasentextZchn"/>
    <w:rsid w:val="005B47C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5B47C2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rsid w:val="00B55BB5"/>
    <w:pPr>
      <w:spacing w:after="0"/>
    </w:pPr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rsid w:val="00B55BB5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Vita Ernst Prost</vt:lpstr>
    </vt:vector>
  </TitlesOfParts>
  <Company>Liqui Moly GmbH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 Ernst Prost</dc:title>
  <dc:subject/>
  <dc:creator>goebbel</dc:creator>
  <cp:keywords/>
  <dc:description/>
  <cp:lastModifiedBy>Tobias Gerstlauer</cp:lastModifiedBy>
  <cp:revision>7</cp:revision>
  <cp:lastPrinted>2017-09-11T11:49:00Z</cp:lastPrinted>
  <dcterms:created xsi:type="dcterms:W3CDTF">2017-09-11T13:01:00Z</dcterms:created>
  <dcterms:modified xsi:type="dcterms:W3CDTF">2017-09-14T07:07:00Z</dcterms:modified>
</cp:coreProperties>
</file>