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4B6B5" w14:textId="14E60B83" w:rsidR="0028403D" w:rsidRDefault="0028403D" w:rsidP="00EA3562">
      <w:pPr>
        <w:spacing w:after="240" w:line="360" w:lineRule="auto"/>
        <w:ind w:right="1985"/>
        <w:jc w:val="both"/>
        <w:rPr>
          <w:rFonts w:ascii="Arial" w:hAnsi="Arial" w:cs="Arial"/>
          <w:b/>
          <w:bCs/>
          <w:sz w:val="36"/>
          <w:szCs w:val="36"/>
          <w:lang w:val="pt-PT"/>
        </w:rPr>
      </w:pPr>
      <w:r>
        <w:rPr>
          <w:rFonts w:ascii="Arial" w:hAnsi="Arial" w:cs="Arial"/>
          <w:b/>
          <w:bCs/>
          <w:sz w:val="36"/>
          <w:szCs w:val="36"/>
          <w:lang w:val="pt-PT"/>
        </w:rPr>
        <w:t xml:space="preserve">LIQUI MOLY garante o “naming” da Bundesliga de Andebol na Alemanha </w:t>
      </w:r>
    </w:p>
    <w:p w14:paraId="63E1E245" w14:textId="6A8A73E9" w:rsidR="00EA3562" w:rsidRDefault="0028403D" w:rsidP="00EA3562">
      <w:pPr>
        <w:spacing w:after="240" w:line="360" w:lineRule="auto"/>
        <w:ind w:right="198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pt-PT"/>
        </w:rPr>
        <w:t xml:space="preserve">A </w:t>
      </w:r>
      <w:r w:rsidR="005667BB" w:rsidRPr="005667BB">
        <w:rPr>
          <w:rFonts w:ascii="Arial" w:hAnsi="Arial" w:cs="Arial"/>
          <w:sz w:val="28"/>
          <w:szCs w:val="28"/>
          <w:lang w:val="pt-PT"/>
        </w:rPr>
        <w:t>LIQUI MOLY</w:t>
      </w:r>
      <w:r w:rsidR="00EA3562" w:rsidRPr="005667BB">
        <w:rPr>
          <w:rFonts w:ascii="Arial" w:hAnsi="Arial" w:cs="Arial"/>
          <w:sz w:val="28"/>
          <w:szCs w:val="28"/>
          <w:lang w:val="pt-PT"/>
        </w:rPr>
        <w:t xml:space="preserve"> </w:t>
      </w:r>
      <w:r>
        <w:rPr>
          <w:rFonts w:ascii="Arial" w:hAnsi="Arial" w:cs="Arial"/>
          <w:sz w:val="28"/>
          <w:szCs w:val="28"/>
          <w:lang w:val="pt-PT"/>
        </w:rPr>
        <w:t xml:space="preserve">aposta no impacto publicitário numa das ligas mais competitivas do mundo. </w:t>
      </w:r>
    </w:p>
    <w:p w14:paraId="22B99B6C" w14:textId="0BF86A90" w:rsidR="0028403D" w:rsidRDefault="00EA3562" w:rsidP="00EA3562">
      <w:pPr>
        <w:spacing w:after="240" w:line="360" w:lineRule="auto"/>
        <w:ind w:right="1985"/>
        <w:jc w:val="both"/>
        <w:rPr>
          <w:rFonts w:ascii="Arial" w:hAnsi="Arial" w:cs="Arial"/>
          <w:b/>
          <w:bCs/>
          <w:lang w:val="pt-PT"/>
        </w:rPr>
      </w:pPr>
      <w:r w:rsidRPr="005667BB">
        <w:rPr>
          <w:rFonts w:ascii="Arial" w:hAnsi="Arial" w:cs="Arial"/>
          <w:b/>
          <w:bCs/>
          <w:lang w:val="pt-PT"/>
        </w:rPr>
        <w:t xml:space="preserve">Junho de 2019 – </w:t>
      </w:r>
      <w:r w:rsidR="0028403D">
        <w:rPr>
          <w:rFonts w:ascii="Arial" w:hAnsi="Arial" w:cs="Arial"/>
          <w:b/>
          <w:bCs/>
          <w:lang w:val="pt-PT"/>
        </w:rPr>
        <w:t xml:space="preserve">A partir de Julho de 2019, o nível máximo de andebol na Alemanha vai brilhar com as cores da LIQUI MOLY. O especialista em óleos e aditivos adquiriu os direitos sobre o nome comercial da mais exigente competição masculina de andebol, que passará a chamar-se LIQUI MOLY Bundesliga de Andebol. O contrato tem uma duração de três temporadas, com opção de mais duas. </w:t>
      </w:r>
    </w:p>
    <w:p w14:paraId="2FE2D334" w14:textId="69A79A8C" w:rsidR="0028403D" w:rsidRDefault="0028403D" w:rsidP="00EA3562">
      <w:pPr>
        <w:spacing w:after="240" w:line="360" w:lineRule="auto"/>
        <w:ind w:right="1985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A Bundelisga e a LIQUI MOLY acordaram um vasto leque de direitos, que incluem diversas ações promocionais além do direito sobre o nome comercial da competição. Por exemplo, o logotipo da LIQUI MOLY Bundesliga de Andebol (LIQUI MOLY HBL), em formato vertical, ocupará um lugar destacado nas magas das camisolas de todos os jogadores dos 18 clubes em competição. O logotipo azul, vermelho e branco estará também em destaque nos 306 jogos da temporada da LIQUI MOLY HBL em espaços publicitários com presença televisiva: isto inclui cubos publicitários nas margens do campo e autocolantes no piso do campo além de painéis de fundo para entrevistas. “Com esta medida promocional asseguramos para os próximos anos a presença ininterrupta da nossa marca num dos desportos mais populares na Alemanha”, explica o diretor Ernst Prost. </w:t>
      </w:r>
    </w:p>
    <w:p w14:paraId="584885E4" w14:textId="79768146" w:rsidR="0028403D" w:rsidRDefault="0028403D" w:rsidP="00EA3562">
      <w:pPr>
        <w:spacing w:after="240" w:line="360" w:lineRule="auto"/>
        <w:ind w:right="1985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Para além dos campos, a marca de lubrificantes terá visibilidade com o posicionamento dos logotipos em todo o material impresso, o site e todos os canais digitais e plataformas de redes sociais da LIQUI MOLY HBL. </w:t>
      </w:r>
    </w:p>
    <w:p w14:paraId="524A540A" w14:textId="6697571F" w:rsidR="0028403D" w:rsidRDefault="0028403D" w:rsidP="00EA3562">
      <w:pPr>
        <w:spacing w:after="240" w:line="360" w:lineRule="auto"/>
        <w:ind w:right="1985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lastRenderedPageBreak/>
        <w:t xml:space="preserve">“Estamos confiantes de que vamos alcançar um enorme efeito publicitário graças a esta cooperação, que vai muito para além do mercado doméstico alemão, já que ambas as marcas dispõem de uma forte capacidade de atração”, sublinha Prost, que acrescenta: “O investimento não é apenas para nós, como para todos os nossos parceiros comerciais, oficinas e clientes que vendem ou trabalham com LIQUI MOLY. Os nossos parceiros podem beneficiar da crescente notoriedade da marca, fruto do nosso compromisso com a Bundelisga de Andebol, porque uma marca sólida faz com que o cliente final seja ativado”. A LIQUI MOLY aproveitará o seu patrocínio para convidar clientes a assistir a jogos da Bundesliga e entusiasmá-los ainda mais com a marca, garantindo relações mais estreitas e novas vias de colaboração. </w:t>
      </w:r>
    </w:p>
    <w:p w14:paraId="0DF06FA2" w14:textId="0ADF867C" w:rsidR="0028403D" w:rsidRDefault="0028403D" w:rsidP="00EA3562">
      <w:pPr>
        <w:spacing w:after="240" w:line="360" w:lineRule="auto"/>
        <w:ind w:right="1985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A parceria com a HBL inclui também o torneio REWE Final 4 da Taça DHB, o jogo All Star e também a Pixum Super Cup, com a qual o campeão alemão e o campeão da taça inauguram tradicionalmente a nova temporada. </w:t>
      </w:r>
    </w:p>
    <w:p w14:paraId="3C370775" w14:textId="33D534F0" w:rsidR="0028403D" w:rsidRDefault="0028403D" w:rsidP="00EA3562">
      <w:pPr>
        <w:spacing w:after="240" w:line="360" w:lineRule="auto"/>
        <w:ind w:right="1985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Frank Bohmann, diretor da HBL GmbH explica: “Ficamos muito contentes de ter encontrado um parceiro forte como a LIQUI MOLY, com uma enorme capacidade de atração e com o qual estamos 100% sintonizados. Tal como nós, esta empresa de êxito global com sede na Alemanha, está entre os melhores e é sinónimo de qualidade extraordinária, atividade contínua, grande dinamismo, emoções fortes e êxito. Como temos tanto em comum, estamos convencidos de que o grande potencial da nossa colaboração nos vai impulsionar para continuar a desenvolver, em conjunto, as respetivas imagens de marca”. </w:t>
      </w:r>
    </w:p>
    <w:p w14:paraId="57921E70" w14:textId="159EE3E6" w:rsidR="0028403D" w:rsidRDefault="0028403D" w:rsidP="00EA3562">
      <w:pPr>
        <w:spacing w:after="240" w:line="360" w:lineRule="auto"/>
        <w:ind w:right="1985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O primeiro evento em que a LIQUI MOLY terá em destaque o nome comercial da competição, será a primeira ronda da Taça DHB, a 17 e 18 de agosto. Ernst Prost acrescenta: “O nosso compromisso com o andebol será o projeto estrela durante os próximos anos na </w:t>
      </w:r>
      <w:r>
        <w:rPr>
          <w:rFonts w:ascii="Arial" w:hAnsi="Arial" w:cs="Arial"/>
          <w:lang w:val="pt-PT"/>
        </w:rPr>
        <w:lastRenderedPageBreak/>
        <w:t>nossa estratégia de patrocínios complementares aos que já temos nos desportos automóveis.”</w:t>
      </w:r>
    </w:p>
    <w:p w14:paraId="04A07B27" w14:textId="77777777" w:rsidR="0028403D" w:rsidRDefault="0028403D" w:rsidP="002F31A4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lang w:val="pt-PT"/>
        </w:rPr>
      </w:pPr>
      <w:bookmarkStart w:id="0" w:name="_GoBack"/>
      <w:bookmarkEnd w:id="0"/>
    </w:p>
    <w:p w14:paraId="51BC8297" w14:textId="709AFB1D" w:rsidR="002F31A4" w:rsidRPr="001E42B7" w:rsidRDefault="002F31A4" w:rsidP="002F31A4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b/>
          <w:lang w:val="pt-PT"/>
        </w:rPr>
      </w:pPr>
      <w:r w:rsidRPr="001E42B7">
        <w:rPr>
          <w:rFonts w:ascii="Arial" w:hAnsi="Arial" w:cs="Arial"/>
          <w:b/>
          <w:bCs/>
          <w:lang w:val="pt-PT"/>
        </w:rPr>
        <w:t>Sobre a LIQUI MOLY</w:t>
      </w:r>
    </w:p>
    <w:p w14:paraId="47EAB7C4" w14:textId="3E9836BA" w:rsidR="002F31A4" w:rsidRPr="001E42B7" w:rsidRDefault="002F31A4" w:rsidP="006577EE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lang w:val="pt-PT"/>
        </w:rPr>
      </w:pPr>
      <w:r w:rsidRPr="001E42B7">
        <w:rPr>
          <w:rFonts w:ascii="Arial" w:hAnsi="Arial" w:cs="Arial"/>
          <w:lang w:val="pt-PT"/>
        </w:rPr>
        <w:t xml:space="preserve">Com cerca de 4000 </w:t>
      </w:r>
      <w:r w:rsidR="00EF3922" w:rsidRPr="001E42B7">
        <w:rPr>
          <w:rFonts w:ascii="Arial" w:hAnsi="Arial" w:cs="Arial"/>
          <w:lang w:val="pt-PT"/>
        </w:rPr>
        <w:t>referências</w:t>
      </w:r>
      <w:r w:rsidRPr="001E42B7">
        <w:rPr>
          <w:rFonts w:ascii="Arial" w:hAnsi="Arial" w:cs="Arial"/>
          <w:lang w:val="pt-PT"/>
        </w:rPr>
        <w:t>, a LIQUI MOLY oferece uma gama de produtos ampla e única a nível mundial para o setor automóvel: óleos de motor e aditivos, lubrificantes e massas, sprays e tratamento automóvel, substâncias adesivas e produtos selantes. Fundada em 1957, a LIQUI MOLY desenvolve e produz exclusivamente na Alemanha, onde é líder de mercado incontestável no setor dos aditivos e é repetidamente escolhida como a melhor marca de óleo. A empresa vende os seus produtos em mais de 120 países e conseguiu, em 201</w:t>
      </w:r>
      <w:r w:rsidR="006577EE" w:rsidRPr="001E42B7">
        <w:rPr>
          <w:rFonts w:ascii="Arial" w:hAnsi="Arial" w:cs="Arial"/>
          <w:lang w:val="pt-PT"/>
        </w:rPr>
        <w:t>8</w:t>
      </w:r>
      <w:r w:rsidRPr="001E42B7">
        <w:rPr>
          <w:rFonts w:ascii="Arial" w:hAnsi="Arial" w:cs="Arial"/>
          <w:lang w:val="pt-PT"/>
        </w:rPr>
        <w:t>, um volume de negócios de 5</w:t>
      </w:r>
      <w:r w:rsidR="006577EE" w:rsidRPr="001E42B7">
        <w:rPr>
          <w:rFonts w:ascii="Arial" w:hAnsi="Arial" w:cs="Arial"/>
          <w:lang w:val="pt-PT"/>
        </w:rPr>
        <w:t>4</w:t>
      </w:r>
      <w:r w:rsidR="001E42B7" w:rsidRPr="001E42B7">
        <w:rPr>
          <w:rFonts w:ascii="Arial" w:hAnsi="Arial" w:cs="Arial"/>
          <w:lang w:val="pt-PT"/>
        </w:rPr>
        <w:t>4</w:t>
      </w:r>
      <w:r w:rsidRPr="001E42B7">
        <w:rPr>
          <w:rFonts w:ascii="Arial" w:hAnsi="Arial" w:cs="Arial"/>
          <w:lang w:val="pt-PT"/>
        </w:rPr>
        <w:t xml:space="preserve"> milhões de euros.</w:t>
      </w:r>
    </w:p>
    <w:p w14:paraId="3510B8BA" w14:textId="77777777" w:rsidR="00F1591E" w:rsidRPr="001E42B7" w:rsidRDefault="00F1591E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ind w:right="2052"/>
        <w:jc w:val="both"/>
        <w:rPr>
          <w:rFonts w:ascii="Arial" w:hAnsi="Arial" w:cs="Arial"/>
          <w:lang w:val="pt-PT"/>
        </w:rPr>
      </w:pPr>
    </w:p>
    <w:p w14:paraId="64EE5434" w14:textId="77777777" w:rsidR="005F5F71" w:rsidRPr="001E42B7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ind w:right="2052"/>
        <w:jc w:val="both"/>
        <w:rPr>
          <w:rStyle w:val="Fett"/>
          <w:rFonts w:ascii="Arial" w:hAnsi="Arial" w:cs="Arial"/>
          <w:bCs w:val="0"/>
          <w:lang w:val="pt-PT"/>
        </w:rPr>
      </w:pPr>
      <w:r w:rsidRPr="001E42B7">
        <w:rPr>
          <w:rStyle w:val="Fett"/>
          <w:rFonts w:ascii="Arial" w:hAnsi="Arial" w:cs="Arial"/>
          <w:lang w:val="pt-PT"/>
        </w:rPr>
        <w:t>Poderá obter mais informações em:</w:t>
      </w:r>
    </w:p>
    <w:p w14:paraId="26213FF6" w14:textId="77777777" w:rsidR="005F5F71" w:rsidRPr="005667BB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en-US"/>
        </w:rPr>
      </w:pPr>
      <w:r w:rsidRPr="005667BB">
        <w:rPr>
          <w:rFonts w:ascii="Arial" w:hAnsi="Arial" w:cs="Arial"/>
          <w:color w:val="000000"/>
          <w:lang w:val="en-US"/>
        </w:rPr>
        <w:t>LIQUI MOLY IBERIA</w:t>
      </w:r>
    </w:p>
    <w:p w14:paraId="649F7783" w14:textId="77777777" w:rsidR="005F5F71" w:rsidRPr="005667BB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en-US"/>
        </w:rPr>
      </w:pPr>
      <w:proofErr w:type="spellStart"/>
      <w:r w:rsidRPr="005667BB">
        <w:rPr>
          <w:rFonts w:ascii="Arial" w:hAnsi="Arial" w:cs="Arial"/>
          <w:color w:val="000000"/>
          <w:lang w:val="en-US"/>
        </w:rPr>
        <w:t>Cláudio</w:t>
      </w:r>
      <w:proofErr w:type="spellEnd"/>
      <w:r w:rsidRPr="005667BB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5667BB">
        <w:rPr>
          <w:rFonts w:ascii="Arial" w:hAnsi="Arial" w:cs="Arial"/>
          <w:color w:val="000000"/>
          <w:lang w:val="en-US"/>
        </w:rPr>
        <w:t>Delicado</w:t>
      </w:r>
      <w:proofErr w:type="spellEnd"/>
    </w:p>
    <w:p w14:paraId="54B8D0CD" w14:textId="77777777" w:rsidR="005F5F71" w:rsidRPr="005667BB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en-US"/>
        </w:rPr>
      </w:pPr>
      <w:r w:rsidRPr="005667BB">
        <w:rPr>
          <w:rFonts w:ascii="Arial" w:hAnsi="Arial" w:cs="Arial"/>
          <w:color w:val="000000"/>
          <w:lang w:val="en-US"/>
        </w:rPr>
        <w:t>Strategic Communication &amp; Marketing</w:t>
      </w:r>
    </w:p>
    <w:p w14:paraId="512F3E1C" w14:textId="77777777" w:rsidR="005F5F71" w:rsidRPr="005667BB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en-US"/>
        </w:rPr>
      </w:pPr>
    </w:p>
    <w:p w14:paraId="1C6E98C2" w14:textId="77777777" w:rsidR="005F5F71" w:rsidRPr="005667BB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en-US"/>
        </w:rPr>
      </w:pPr>
      <w:proofErr w:type="spellStart"/>
      <w:r w:rsidRPr="005667BB">
        <w:rPr>
          <w:rFonts w:ascii="Arial" w:hAnsi="Arial" w:cs="Arial"/>
          <w:color w:val="000000"/>
          <w:lang w:val="en-US"/>
        </w:rPr>
        <w:t>Sintra</w:t>
      </w:r>
      <w:proofErr w:type="spellEnd"/>
      <w:r w:rsidRPr="005667BB">
        <w:rPr>
          <w:rFonts w:ascii="Arial" w:hAnsi="Arial" w:cs="Arial"/>
          <w:color w:val="000000"/>
          <w:lang w:val="en-US"/>
        </w:rPr>
        <w:t xml:space="preserve"> Business Park</w:t>
      </w:r>
    </w:p>
    <w:p w14:paraId="59E7031F" w14:textId="77777777" w:rsidR="005F5F71" w:rsidRPr="001E42B7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pt-PT"/>
        </w:rPr>
      </w:pPr>
      <w:r w:rsidRPr="001E42B7">
        <w:rPr>
          <w:rFonts w:ascii="Arial" w:hAnsi="Arial" w:cs="Arial"/>
          <w:color w:val="000000"/>
          <w:lang w:val="pt-PT"/>
        </w:rPr>
        <w:t>Edifício 01 - 1° P</w:t>
      </w:r>
    </w:p>
    <w:p w14:paraId="0E6FA264" w14:textId="77777777" w:rsidR="005F5F71" w:rsidRPr="001E42B7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pt-PT"/>
        </w:rPr>
      </w:pPr>
      <w:r w:rsidRPr="001E42B7">
        <w:rPr>
          <w:rFonts w:ascii="Arial" w:hAnsi="Arial" w:cs="Arial"/>
          <w:color w:val="000000"/>
          <w:lang w:val="pt-PT"/>
        </w:rPr>
        <w:t>C.P. 2710-089 Sintra</w:t>
      </w:r>
    </w:p>
    <w:p w14:paraId="6BB59FE8" w14:textId="77777777" w:rsidR="005F5F71" w:rsidRPr="001E42B7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pt-PT"/>
        </w:rPr>
      </w:pPr>
    </w:p>
    <w:p w14:paraId="31C46F5C" w14:textId="77777777" w:rsidR="005F5F71" w:rsidRPr="001E42B7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pt-PT"/>
        </w:rPr>
      </w:pPr>
      <w:r w:rsidRPr="001E42B7">
        <w:rPr>
          <w:rFonts w:ascii="Arial" w:hAnsi="Arial" w:cs="Arial"/>
          <w:color w:val="000000"/>
          <w:lang w:val="pt-PT"/>
        </w:rPr>
        <w:t>Phone: +351 (21) 925 07 32 (Back Office Sintra)</w:t>
      </w:r>
    </w:p>
    <w:p w14:paraId="57F0DB6F" w14:textId="77777777" w:rsidR="005F5F71" w:rsidRPr="001E42B7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pt-PT"/>
        </w:rPr>
      </w:pPr>
      <w:r w:rsidRPr="001E42B7">
        <w:rPr>
          <w:rFonts w:ascii="Arial" w:hAnsi="Arial" w:cs="Arial"/>
          <w:color w:val="000000"/>
          <w:lang w:val="pt-PT"/>
        </w:rPr>
        <w:t>Fax: +351 (21) 925 07 34</w:t>
      </w:r>
    </w:p>
    <w:p w14:paraId="4E03D81F" w14:textId="5047BCE9" w:rsidR="00CA6D47" w:rsidRPr="001E42B7" w:rsidRDefault="005F5F71" w:rsidP="003E2D1B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pt-PT"/>
        </w:rPr>
      </w:pPr>
      <w:r w:rsidRPr="001E42B7">
        <w:rPr>
          <w:rFonts w:ascii="Arial" w:hAnsi="Arial" w:cs="Arial"/>
          <w:color w:val="000000"/>
          <w:lang w:val="pt-PT"/>
        </w:rPr>
        <w:t>Mobile: +351 937 929</w:t>
      </w:r>
      <w:r w:rsidR="00EF3922" w:rsidRPr="001E42B7">
        <w:rPr>
          <w:rFonts w:ascii="Arial" w:hAnsi="Arial" w:cs="Arial"/>
          <w:color w:val="000000"/>
          <w:lang w:val="pt-PT"/>
        </w:rPr>
        <w:t> </w:t>
      </w:r>
      <w:r w:rsidRPr="001E42B7">
        <w:rPr>
          <w:rFonts w:ascii="Arial" w:hAnsi="Arial" w:cs="Arial"/>
          <w:color w:val="000000"/>
          <w:lang w:val="pt-PT"/>
        </w:rPr>
        <w:t>767</w:t>
      </w:r>
    </w:p>
    <w:p w14:paraId="438630B6" w14:textId="64B8578A" w:rsidR="00EF3922" w:rsidRPr="001E42B7" w:rsidRDefault="00EF3922" w:rsidP="003E2D1B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pt-PT"/>
        </w:rPr>
      </w:pPr>
      <w:r w:rsidRPr="001E42B7">
        <w:rPr>
          <w:rFonts w:ascii="Arial" w:hAnsi="Arial" w:cs="Arial"/>
          <w:color w:val="000000"/>
          <w:lang w:val="pt-PT"/>
        </w:rPr>
        <w:t xml:space="preserve">E-mail: </w:t>
      </w:r>
      <w:hyperlink r:id="rId7" w:history="1">
        <w:r w:rsidRPr="001E42B7">
          <w:rPr>
            <w:rStyle w:val="Hyperlink"/>
            <w:rFonts w:ascii="Arial" w:hAnsi="Arial" w:cs="Arial"/>
            <w:lang w:val="pt-PT"/>
          </w:rPr>
          <w:t>claudio.delicado@liqui-moly.com</w:t>
        </w:r>
      </w:hyperlink>
      <w:r w:rsidRPr="001E42B7">
        <w:rPr>
          <w:rFonts w:ascii="Arial" w:hAnsi="Arial" w:cs="Arial"/>
          <w:color w:val="000000"/>
          <w:lang w:val="pt-PT"/>
        </w:rPr>
        <w:t xml:space="preserve"> </w:t>
      </w:r>
    </w:p>
    <w:sectPr w:rsidR="00EF3922" w:rsidRPr="001E42B7" w:rsidSect="0035126F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B16FCF" w14:textId="77777777" w:rsidR="005F57FD" w:rsidRDefault="005F57FD" w:rsidP="00F014E5">
      <w:r>
        <w:separator/>
      </w:r>
    </w:p>
  </w:endnote>
  <w:endnote w:type="continuationSeparator" w:id="0">
    <w:p w14:paraId="3894A1C6" w14:textId="77777777" w:rsidR="005F57FD" w:rsidRDefault="005F57FD" w:rsidP="00F0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E32D98" w14:textId="77777777" w:rsidR="005F57FD" w:rsidRDefault="005F57FD" w:rsidP="00F014E5">
      <w:r>
        <w:separator/>
      </w:r>
    </w:p>
  </w:footnote>
  <w:footnote w:type="continuationSeparator" w:id="0">
    <w:p w14:paraId="5827A700" w14:textId="77777777" w:rsidR="005F57FD" w:rsidRDefault="005F57FD" w:rsidP="00F014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585F46" w14:textId="0E399B7C" w:rsidR="00F014E5" w:rsidRDefault="00DC0995">
    <w:pPr>
      <w:pStyle w:val="Kopfzeile"/>
    </w:pPr>
    <w:r>
      <w:rPr>
        <w:noProof/>
      </w:rPr>
      <w:drawing>
        <wp:inline distT="0" distB="0" distL="0" distR="0" wp14:anchorId="530EA3CF" wp14:editId="73AF2C24">
          <wp:extent cx="5753100" cy="685800"/>
          <wp:effectExtent l="0" t="0" r="0" b="0"/>
          <wp:docPr id="1" name="Bild 1" descr="Pressemeldung P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meldung P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4BDBEC" w14:textId="77777777" w:rsidR="00F014E5" w:rsidRDefault="00F014E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83592"/>
    <w:multiLevelType w:val="hybridMultilevel"/>
    <w:tmpl w:val="D0409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97989"/>
    <w:multiLevelType w:val="hybridMultilevel"/>
    <w:tmpl w:val="C0AE72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DA2"/>
    <w:rsid w:val="00001ACD"/>
    <w:rsid w:val="00006CF3"/>
    <w:rsid w:val="0002385D"/>
    <w:rsid w:val="0003392F"/>
    <w:rsid w:val="0005455F"/>
    <w:rsid w:val="00056F66"/>
    <w:rsid w:val="00060ADB"/>
    <w:rsid w:val="00062213"/>
    <w:rsid w:val="0006566B"/>
    <w:rsid w:val="000665FA"/>
    <w:rsid w:val="0008622A"/>
    <w:rsid w:val="000923B0"/>
    <w:rsid w:val="00095910"/>
    <w:rsid w:val="000979CB"/>
    <w:rsid w:val="000B2CAD"/>
    <w:rsid w:val="000B7477"/>
    <w:rsid w:val="000C1140"/>
    <w:rsid w:val="000C56C5"/>
    <w:rsid w:val="000D4573"/>
    <w:rsid w:val="000D7F17"/>
    <w:rsid w:val="000E6FE4"/>
    <w:rsid w:val="00114843"/>
    <w:rsid w:val="00117073"/>
    <w:rsid w:val="00154E3B"/>
    <w:rsid w:val="00160DE1"/>
    <w:rsid w:val="00165724"/>
    <w:rsid w:val="00165F93"/>
    <w:rsid w:val="001668E0"/>
    <w:rsid w:val="001709A1"/>
    <w:rsid w:val="00173F5E"/>
    <w:rsid w:val="00181CAE"/>
    <w:rsid w:val="001828B0"/>
    <w:rsid w:val="00185743"/>
    <w:rsid w:val="001A1722"/>
    <w:rsid w:val="001A737C"/>
    <w:rsid w:val="001B0A0F"/>
    <w:rsid w:val="001B2FE4"/>
    <w:rsid w:val="001C7DA6"/>
    <w:rsid w:val="001D1F9D"/>
    <w:rsid w:val="001E3972"/>
    <w:rsid w:val="001E42B7"/>
    <w:rsid w:val="001E46D3"/>
    <w:rsid w:val="001E7143"/>
    <w:rsid w:val="001F235A"/>
    <w:rsid w:val="001F46C4"/>
    <w:rsid w:val="002353B4"/>
    <w:rsid w:val="002359E3"/>
    <w:rsid w:val="00236885"/>
    <w:rsid w:val="00243BE8"/>
    <w:rsid w:val="0028403D"/>
    <w:rsid w:val="00285140"/>
    <w:rsid w:val="00297E3E"/>
    <w:rsid w:val="002A160D"/>
    <w:rsid w:val="002C739D"/>
    <w:rsid w:val="002D7C93"/>
    <w:rsid w:val="002E037C"/>
    <w:rsid w:val="002F077B"/>
    <w:rsid w:val="002F26C0"/>
    <w:rsid w:val="002F31A4"/>
    <w:rsid w:val="00312BEB"/>
    <w:rsid w:val="00326B6D"/>
    <w:rsid w:val="00337BBC"/>
    <w:rsid w:val="00346A2B"/>
    <w:rsid w:val="0035126F"/>
    <w:rsid w:val="00353716"/>
    <w:rsid w:val="0035714F"/>
    <w:rsid w:val="00362739"/>
    <w:rsid w:val="0038108A"/>
    <w:rsid w:val="00387445"/>
    <w:rsid w:val="0038766F"/>
    <w:rsid w:val="00395B4A"/>
    <w:rsid w:val="003A37B2"/>
    <w:rsid w:val="003B184B"/>
    <w:rsid w:val="003D7B50"/>
    <w:rsid w:val="003E2D1B"/>
    <w:rsid w:val="004030B6"/>
    <w:rsid w:val="00415C2F"/>
    <w:rsid w:val="00421AF6"/>
    <w:rsid w:val="00444064"/>
    <w:rsid w:val="00453101"/>
    <w:rsid w:val="004535CD"/>
    <w:rsid w:val="0045490B"/>
    <w:rsid w:val="00495E4E"/>
    <w:rsid w:val="004A090C"/>
    <w:rsid w:val="004A40B4"/>
    <w:rsid w:val="004B4F22"/>
    <w:rsid w:val="004C0809"/>
    <w:rsid w:val="004C1F68"/>
    <w:rsid w:val="004C3274"/>
    <w:rsid w:val="004C33D0"/>
    <w:rsid w:val="004D3016"/>
    <w:rsid w:val="004E44CD"/>
    <w:rsid w:val="004F5C71"/>
    <w:rsid w:val="005011E7"/>
    <w:rsid w:val="00501E9B"/>
    <w:rsid w:val="0050220F"/>
    <w:rsid w:val="00502A1B"/>
    <w:rsid w:val="00503B44"/>
    <w:rsid w:val="005200C6"/>
    <w:rsid w:val="00522CDC"/>
    <w:rsid w:val="005243CA"/>
    <w:rsid w:val="00537FF8"/>
    <w:rsid w:val="00544347"/>
    <w:rsid w:val="00544807"/>
    <w:rsid w:val="005630ED"/>
    <w:rsid w:val="00565AB8"/>
    <w:rsid w:val="005667BB"/>
    <w:rsid w:val="005757AA"/>
    <w:rsid w:val="005821B7"/>
    <w:rsid w:val="00590DE1"/>
    <w:rsid w:val="0059483A"/>
    <w:rsid w:val="005A15A9"/>
    <w:rsid w:val="005A4BE2"/>
    <w:rsid w:val="005B52BE"/>
    <w:rsid w:val="005C346E"/>
    <w:rsid w:val="005C4608"/>
    <w:rsid w:val="005D1927"/>
    <w:rsid w:val="005D6777"/>
    <w:rsid w:val="005F32D6"/>
    <w:rsid w:val="005F57FD"/>
    <w:rsid w:val="005F5963"/>
    <w:rsid w:val="005F5F71"/>
    <w:rsid w:val="006001C2"/>
    <w:rsid w:val="0060166A"/>
    <w:rsid w:val="00602E59"/>
    <w:rsid w:val="00623D34"/>
    <w:rsid w:val="00626467"/>
    <w:rsid w:val="00641A23"/>
    <w:rsid w:val="0064251F"/>
    <w:rsid w:val="0065140B"/>
    <w:rsid w:val="00651B94"/>
    <w:rsid w:val="006577EE"/>
    <w:rsid w:val="00661821"/>
    <w:rsid w:val="00665051"/>
    <w:rsid w:val="00674210"/>
    <w:rsid w:val="006B241A"/>
    <w:rsid w:val="006E156E"/>
    <w:rsid w:val="006F087A"/>
    <w:rsid w:val="00713845"/>
    <w:rsid w:val="00713E9F"/>
    <w:rsid w:val="00714E80"/>
    <w:rsid w:val="0071558A"/>
    <w:rsid w:val="00723E69"/>
    <w:rsid w:val="00724BE4"/>
    <w:rsid w:val="0073156E"/>
    <w:rsid w:val="0073474F"/>
    <w:rsid w:val="00736D8F"/>
    <w:rsid w:val="00742F5A"/>
    <w:rsid w:val="00746412"/>
    <w:rsid w:val="007722E0"/>
    <w:rsid w:val="00772510"/>
    <w:rsid w:val="00792D8C"/>
    <w:rsid w:val="007A234D"/>
    <w:rsid w:val="007B2EEA"/>
    <w:rsid w:val="007B485C"/>
    <w:rsid w:val="007C3785"/>
    <w:rsid w:val="007E707F"/>
    <w:rsid w:val="007F1F8C"/>
    <w:rsid w:val="008302B9"/>
    <w:rsid w:val="00836CE5"/>
    <w:rsid w:val="00852C8C"/>
    <w:rsid w:val="00854132"/>
    <w:rsid w:val="00865233"/>
    <w:rsid w:val="0086790C"/>
    <w:rsid w:val="008858A8"/>
    <w:rsid w:val="008A3FEB"/>
    <w:rsid w:val="008A5C16"/>
    <w:rsid w:val="008A6B3D"/>
    <w:rsid w:val="008B7FFB"/>
    <w:rsid w:val="008E37A2"/>
    <w:rsid w:val="008F3946"/>
    <w:rsid w:val="008F6E5E"/>
    <w:rsid w:val="00905248"/>
    <w:rsid w:val="00923416"/>
    <w:rsid w:val="00924D85"/>
    <w:rsid w:val="009268FA"/>
    <w:rsid w:val="00941133"/>
    <w:rsid w:val="0095175B"/>
    <w:rsid w:val="009533CF"/>
    <w:rsid w:val="009535C8"/>
    <w:rsid w:val="0095368D"/>
    <w:rsid w:val="00957517"/>
    <w:rsid w:val="00967F7C"/>
    <w:rsid w:val="0099251A"/>
    <w:rsid w:val="00993720"/>
    <w:rsid w:val="009A3CFC"/>
    <w:rsid w:val="009A55E1"/>
    <w:rsid w:val="009B0E07"/>
    <w:rsid w:val="009B512F"/>
    <w:rsid w:val="009B56CF"/>
    <w:rsid w:val="009C1CD4"/>
    <w:rsid w:val="009C6209"/>
    <w:rsid w:val="009D4458"/>
    <w:rsid w:val="009D49C2"/>
    <w:rsid w:val="009D5A34"/>
    <w:rsid w:val="009E2F08"/>
    <w:rsid w:val="00A0690D"/>
    <w:rsid w:val="00A12789"/>
    <w:rsid w:val="00A1409E"/>
    <w:rsid w:val="00A629C2"/>
    <w:rsid w:val="00A66DA2"/>
    <w:rsid w:val="00A72561"/>
    <w:rsid w:val="00A72966"/>
    <w:rsid w:val="00A835BD"/>
    <w:rsid w:val="00A86BA6"/>
    <w:rsid w:val="00A937FF"/>
    <w:rsid w:val="00AB35A3"/>
    <w:rsid w:val="00AB79CF"/>
    <w:rsid w:val="00AC4796"/>
    <w:rsid w:val="00AD0065"/>
    <w:rsid w:val="00AE29B2"/>
    <w:rsid w:val="00B0607E"/>
    <w:rsid w:val="00B11D4D"/>
    <w:rsid w:val="00B1212C"/>
    <w:rsid w:val="00B174C1"/>
    <w:rsid w:val="00B36CA5"/>
    <w:rsid w:val="00B40449"/>
    <w:rsid w:val="00B435DB"/>
    <w:rsid w:val="00B47CD0"/>
    <w:rsid w:val="00B65084"/>
    <w:rsid w:val="00B723D4"/>
    <w:rsid w:val="00B724B7"/>
    <w:rsid w:val="00B86B41"/>
    <w:rsid w:val="00B9446A"/>
    <w:rsid w:val="00B979F0"/>
    <w:rsid w:val="00BA1D70"/>
    <w:rsid w:val="00BB5B23"/>
    <w:rsid w:val="00BC6005"/>
    <w:rsid w:val="00BE14FA"/>
    <w:rsid w:val="00BE7CA9"/>
    <w:rsid w:val="00BF33B9"/>
    <w:rsid w:val="00BF49A3"/>
    <w:rsid w:val="00C11BB0"/>
    <w:rsid w:val="00C127C0"/>
    <w:rsid w:val="00C13061"/>
    <w:rsid w:val="00C20DA5"/>
    <w:rsid w:val="00C234A4"/>
    <w:rsid w:val="00C25976"/>
    <w:rsid w:val="00C30376"/>
    <w:rsid w:val="00C44387"/>
    <w:rsid w:val="00C53591"/>
    <w:rsid w:val="00C55E0C"/>
    <w:rsid w:val="00C62046"/>
    <w:rsid w:val="00C81880"/>
    <w:rsid w:val="00C823B9"/>
    <w:rsid w:val="00C864ED"/>
    <w:rsid w:val="00C97C64"/>
    <w:rsid w:val="00CA45BE"/>
    <w:rsid w:val="00CA6D47"/>
    <w:rsid w:val="00CB3374"/>
    <w:rsid w:val="00CD4B53"/>
    <w:rsid w:val="00CE194F"/>
    <w:rsid w:val="00CE23E9"/>
    <w:rsid w:val="00CF2A7B"/>
    <w:rsid w:val="00D0254B"/>
    <w:rsid w:val="00D02B29"/>
    <w:rsid w:val="00D16EA3"/>
    <w:rsid w:val="00D20E0A"/>
    <w:rsid w:val="00D30A1D"/>
    <w:rsid w:val="00D30A83"/>
    <w:rsid w:val="00D324F9"/>
    <w:rsid w:val="00D3758F"/>
    <w:rsid w:val="00D6214A"/>
    <w:rsid w:val="00D629C8"/>
    <w:rsid w:val="00D77E85"/>
    <w:rsid w:val="00D81E67"/>
    <w:rsid w:val="00D84F4E"/>
    <w:rsid w:val="00D86406"/>
    <w:rsid w:val="00D87324"/>
    <w:rsid w:val="00D90413"/>
    <w:rsid w:val="00D91E2F"/>
    <w:rsid w:val="00DA283B"/>
    <w:rsid w:val="00DA4205"/>
    <w:rsid w:val="00DA4C00"/>
    <w:rsid w:val="00DB073F"/>
    <w:rsid w:val="00DB3863"/>
    <w:rsid w:val="00DC0995"/>
    <w:rsid w:val="00DE42C4"/>
    <w:rsid w:val="00DF5214"/>
    <w:rsid w:val="00E00BD6"/>
    <w:rsid w:val="00E04E0F"/>
    <w:rsid w:val="00E10C5E"/>
    <w:rsid w:val="00E11D67"/>
    <w:rsid w:val="00E319D8"/>
    <w:rsid w:val="00E514E8"/>
    <w:rsid w:val="00E5241B"/>
    <w:rsid w:val="00E637F9"/>
    <w:rsid w:val="00E639B4"/>
    <w:rsid w:val="00E64D7D"/>
    <w:rsid w:val="00E74417"/>
    <w:rsid w:val="00E811B6"/>
    <w:rsid w:val="00E907B9"/>
    <w:rsid w:val="00E91912"/>
    <w:rsid w:val="00E92CF4"/>
    <w:rsid w:val="00E965E1"/>
    <w:rsid w:val="00E96D15"/>
    <w:rsid w:val="00E9772B"/>
    <w:rsid w:val="00EA3562"/>
    <w:rsid w:val="00EA497D"/>
    <w:rsid w:val="00EA7041"/>
    <w:rsid w:val="00EC58AD"/>
    <w:rsid w:val="00EC7127"/>
    <w:rsid w:val="00ED193F"/>
    <w:rsid w:val="00EE30B1"/>
    <w:rsid w:val="00EE7BAC"/>
    <w:rsid w:val="00EF0409"/>
    <w:rsid w:val="00EF3922"/>
    <w:rsid w:val="00EF4044"/>
    <w:rsid w:val="00F013FF"/>
    <w:rsid w:val="00F014E5"/>
    <w:rsid w:val="00F05762"/>
    <w:rsid w:val="00F12D1F"/>
    <w:rsid w:val="00F1591E"/>
    <w:rsid w:val="00F17FAE"/>
    <w:rsid w:val="00F24824"/>
    <w:rsid w:val="00F30220"/>
    <w:rsid w:val="00F33960"/>
    <w:rsid w:val="00F71066"/>
    <w:rsid w:val="00F72C5C"/>
    <w:rsid w:val="00F84CEA"/>
    <w:rsid w:val="00F91428"/>
    <w:rsid w:val="00FA0F2A"/>
    <w:rsid w:val="00FC1EFD"/>
    <w:rsid w:val="00FC22CF"/>
    <w:rsid w:val="00FC6F3D"/>
    <w:rsid w:val="00FD5A5D"/>
    <w:rsid w:val="00FF5153"/>
    <w:rsid w:val="00F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5E862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66DA2"/>
    <w:rPr>
      <w:rFonts w:eastAsia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tw4winMark">
    <w:name w:val="tw4winMark"/>
    <w:uiPriority w:val="99"/>
    <w:rsid w:val="00626467"/>
    <w:rPr>
      <w:rFonts w:ascii="Courier New" w:hAnsi="Courier New"/>
      <w:vanish/>
      <w:color w:val="800080"/>
      <w:vertAlign w:val="subscript"/>
    </w:rPr>
  </w:style>
  <w:style w:type="paragraph" w:styleId="Kopfzeile">
    <w:name w:val="header"/>
    <w:basedOn w:val="Standard"/>
    <w:link w:val="KopfzeileZchn"/>
    <w:uiPriority w:val="99"/>
    <w:unhideWhenUsed/>
    <w:rsid w:val="00F014E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014E5"/>
    <w:rPr>
      <w:rFonts w:eastAsia="Times New Roman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F014E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014E5"/>
    <w:rPr>
      <w:rFonts w:eastAsia="Times New Roman"/>
      <w:sz w:val="24"/>
      <w:szCs w:val="24"/>
      <w:lang w:val="de-DE" w:eastAsia="de-DE"/>
    </w:rPr>
  </w:style>
  <w:style w:type="paragraph" w:styleId="Textkrper">
    <w:name w:val="Body Text"/>
    <w:basedOn w:val="Standard"/>
    <w:link w:val="TextkrperZchn"/>
    <w:rsid w:val="00F014E5"/>
    <w:pPr>
      <w:spacing w:line="360" w:lineRule="auto"/>
      <w:jc w:val="both"/>
    </w:pPr>
  </w:style>
  <w:style w:type="character" w:customStyle="1" w:styleId="TextkrperZchn">
    <w:name w:val="Textkörper Zchn"/>
    <w:link w:val="Textkrper"/>
    <w:rsid w:val="00F014E5"/>
    <w:rPr>
      <w:rFonts w:eastAsia="Times New Roman"/>
      <w:sz w:val="24"/>
      <w:szCs w:val="24"/>
      <w:lang w:val="de-DE" w:eastAsia="de-DE"/>
    </w:rPr>
  </w:style>
  <w:style w:type="character" w:styleId="Fett">
    <w:name w:val="Strong"/>
    <w:qFormat/>
    <w:locked/>
    <w:rsid w:val="00F014E5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24B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724B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sid w:val="00B724B7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905248"/>
    <w:pPr>
      <w:ind w:left="720"/>
      <w:contextualSpacing/>
    </w:pPr>
  </w:style>
  <w:style w:type="table" w:styleId="Tabellenraster">
    <w:name w:val="Table Grid"/>
    <w:basedOn w:val="NormaleTabelle"/>
    <w:locked/>
    <w:rsid w:val="0060166A"/>
    <w:rPr>
      <w:rFonts w:eastAsia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97E3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97E3E"/>
    <w:rPr>
      <w:rFonts w:eastAsia="Times New Roma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97E3E"/>
    <w:rPr>
      <w:sz w:val="16"/>
      <w:szCs w:val="16"/>
    </w:rPr>
  </w:style>
  <w:style w:type="character" w:styleId="BesuchterHyperlink">
    <w:name w:val="FollowedHyperlink"/>
    <w:basedOn w:val="Absatz-Standardschriftart"/>
    <w:uiPriority w:val="99"/>
    <w:semiHidden/>
    <w:unhideWhenUsed/>
    <w:rsid w:val="00D81E67"/>
    <w:rPr>
      <w:color w:val="954F72" w:themeColor="followedHyperlink"/>
      <w:u w:val="single"/>
    </w:rPr>
  </w:style>
  <w:style w:type="character" w:customStyle="1" w:styleId="MenoNoResolvida1">
    <w:name w:val="Menção Não Resolvida1"/>
    <w:basedOn w:val="Absatz-Standardschriftart"/>
    <w:uiPriority w:val="99"/>
    <w:semiHidden/>
    <w:unhideWhenUsed/>
    <w:rsid w:val="00EF3922"/>
    <w:rPr>
      <w:color w:val="605E5C"/>
      <w:shd w:val="clear" w:color="auto" w:fill="E1DFDD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2840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laudio.delicado@liqui-mol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2019-06-24T11:46:00Z</dcterms:created>
  <dcterms:modified xsi:type="dcterms:W3CDTF">2019-06-24T11:46:00Z</dcterms:modified>
</cp:coreProperties>
</file>