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D0" w:rsidRPr="00253EB0" w:rsidRDefault="00155FD0">
      <w:pPr>
        <w:ind w:right="2053"/>
        <w:jc w:val="both"/>
        <w:rPr>
          <w:rFonts w:ascii="Arial" w:hAnsi="Arial" w:cs="Arial"/>
          <w:sz w:val="22"/>
          <w:lang w:val="da-DK"/>
        </w:rPr>
      </w:pP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nb"/>
        </w:rPr>
        <w:t>LIQUI MOLY går inn under Würth-paraplyen</w:t>
      </w: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</w:rPr>
      </w:pP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nb"/>
        </w:rPr>
        <w:t>Ernst Prost selger bedriftsgruppen sin til konglomeratet i tungvekterklassen</w:t>
      </w: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</w:rPr>
      </w:pP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nb"/>
        </w:rPr>
        <w:t>Desember 2017 – LIQUI MOLY får ny eier.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Administrerende direktør Ernst Prost selger sine selskapsandeler til Würth-gruppen ved årsskiftet.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«Dermed sikrer jeg at LIQUI MOLY vil fortsette å bestå også når jeg en gang ikke lenger står ved roret», sier Ernst Prost.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Han forblir administrerende direktør for bedriftsgruppen.</w:t>
      </w: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LIQUI MOLY er en kjernesunn bedrift med høy egenkapitalandel og ny omsetningsrekord også i år. «Jeg ønsket å sikre bedriften for fremtiden mens vi gjør det bra, og vi ikke er nødt til å ta en bestemmelse under press», forklarer Ernst Prost.</w:t>
      </w: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</w:rPr>
      </w:pP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Tilknytningen til Würth-konsernet strekker seg langt bak i tid. Würth-gruppen har i nesten 20 år vært stille partner i LIQUI MOLY – allerede den gang som sikkerhet mot uforutsette hendelser. Selv om Würth-gruppen med sine over 70 000 medarbeidere og omsetning på 12,5 milliarder euro stiller i en helt annen liga, er den like mye familiebedrift som LIQUI MOLY. Ernst Prost: «Jeg vet derfor at LIQUI MOLY kommer i gode hender hos Würth-gruppen.»</w:t>
      </w: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</w:rPr>
      </w:pPr>
    </w:p>
    <w:p w:rsidR="004427FF" w:rsidRDefault="004427FF" w:rsidP="004427FF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 xml:space="preserve">Bortsett fra eierskiftet i bakgrunnen, blir alt ved det samme. LIQUI MOLY fortsetter som selvstendig bedrift i Würth-gruppen, Ernst Prost blir sittende som administrerende direktør, og det blir ingen endringer for de ansatte. «De som kjenner meg, vet at jeg setter medarbeiderne i første rekke», påpeker Ernst Prost. «Det ville da også være meningsløst å skulle endre på det som har brakt oss så gode </w:t>
      </w:r>
      <w:r>
        <w:rPr>
          <w:rFonts w:ascii="Arial" w:hAnsi="Arial" w:cs="Arial"/>
          <w:lang w:val="nb"/>
        </w:rPr>
        <w:lastRenderedPageBreak/>
        <w:t>resultater de siste årene. Ting fortsetter akkurat som før – bare under en større paraply som gir mer beskyttelse.»</w:t>
      </w:r>
    </w:p>
    <w:p w:rsidR="004427FF" w:rsidRDefault="004427FF" w:rsidP="004427FF"/>
    <w:p w:rsidR="00FE5B00" w:rsidRPr="00253EB0" w:rsidRDefault="00FE5B00" w:rsidP="00FE5B00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  <w:bookmarkStart w:id="0" w:name="_GoBack"/>
      <w:bookmarkEnd w:id="0"/>
    </w:p>
    <w:p w:rsidR="00FA36AE" w:rsidRDefault="00FA36AE" w:rsidP="00FA36A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nb"/>
        </w:rPr>
        <w:t>Om LIQUI MOLY</w:t>
      </w:r>
    </w:p>
    <w:p w:rsidR="00FA36AE" w:rsidRDefault="00716DBF" w:rsidP="00056994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nb"/>
        </w:rPr>
        <w:t xml:space="preserve">LIQUI MOLYs unike </w:t>
      </w:r>
      <w:r w:rsidR="00592C97">
        <w:rPr>
          <w:rFonts w:asciiTheme="minorBidi" w:hAnsiTheme="minorBidi" w:cstheme="minorBidi"/>
          <w:lang w:val="nb"/>
        </w:rPr>
        <w:t xml:space="preserve">og </w:t>
      </w:r>
      <w:r w:rsidR="00FA36AE">
        <w:rPr>
          <w:rFonts w:asciiTheme="minorBidi" w:hAnsiTheme="minorBidi" w:cstheme="minorBidi"/>
          <w:lang w:val="nb"/>
        </w:rPr>
        <w:t xml:space="preserve">rikholdige bilkjemiske sortiment omfatter rundt 4000 produkter: motoroljer og </w:t>
      </w:r>
      <w:r w:rsidR="00592C97">
        <w:rPr>
          <w:rFonts w:asciiTheme="minorBidi" w:hAnsiTheme="minorBidi" w:cstheme="minorBidi"/>
          <w:lang w:val="nb"/>
        </w:rPr>
        <w:t>tilsetningstoffer</w:t>
      </w:r>
      <w:r w:rsidR="00FA36AE">
        <w:rPr>
          <w:rFonts w:asciiTheme="minorBidi" w:hAnsiTheme="minorBidi" w:cstheme="minorBidi"/>
          <w:lang w:val="nb"/>
        </w:rPr>
        <w:t>, fett og pastaer, sprayer og bilpleie, klebe- og tetningsmidler. LIQUI MOLY, som ble grunnlagt i 1957, utvikler og produserer utelukkende i Tyskland. Selskapet er der ubestridt markedsleder på additiver, og blir gang på gang stemt frem som beste oljemerke. LIQUI MOLY, som ledes av eier Ernst Prost, forhandles i 120 land, og hadde i 201</w:t>
      </w:r>
      <w:r w:rsidR="00056994">
        <w:rPr>
          <w:rFonts w:asciiTheme="minorBidi" w:hAnsiTheme="minorBidi" w:cstheme="minorBidi"/>
          <w:lang w:val="nb"/>
        </w:rPr>
        <w:t>6</w:t>
      </w:r>
      <w:r w:rsidR="00FA36AE">
        <w:rPr>
          <w:rFonts w:asciiTheme="minorBidi" w:hAnsiTheme="minorBidi" w:cstheme="minorBidi"/>
          <w:lang w:val="nb"/>
        </w:rPr>
        <w:t xml:space="preserve"> en omsetning på 4</w:t>
      </w:r>
      <w:r w:rsidR="00056994">
        <w:rPr>
          <w:rFonts w:asciiTheme="minorBidi" w:hAnsiTheme="minorBidi" w:cstheme="minorBidi"/>
          <w:lang w:val="nb"/>
        </w:rPr>
        <w:t>89</w:t>
      </w:r>
      <w:r w:rsidR="00FA36AE">
        <w:rPr>
          <w:rFonts w:asciiTheme="minorBidi" w:hAnsiTheme="minorBidi" w:cstheme="minorBidi"/>
          <w:lang w:val="nb"/>
        </w:rPr>
        <w:t xml:space="preserve"> millioner euro.</w:t>
      </w:r>
    </w:p>
    <w:p w:rsidR="00155FD0" w:rsidRDefault="00155FD0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4427FF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564CD"/>
    <w:rsid w:val="00056994"/>
    <w:rsid w:val="00056E6D"/>
    <w:rsid w:val="00057DFE"/>
    <w:rsid w:val="0006340B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B5A95"/>
    <w:rsid w:val="001D5048"/>
    <w:rsid w:val="001D7954"/>
    <w:rsid w:val="001E7ECD"/>
    <w:rsid w:val="001F4E3C"/>
    <w:rsid w:val="001F5B77"/>
    <w:rsid w:val="00205953"/>
    <w:rsid w:val="00212655"/>
    <w:rsid w:val="00220BC2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405935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C1906"/>
    <w:rsid w:val="004D323A"/>
    <w:rsid w:val="004D3422"/>
    <w:rsid w:val="004F7024"/>
    <w:rsid w:val="005003DA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E3DB5"/>
    <w:rsid w:val="005E68DC"/>
    <w:rsid w:val="005F4CD3"/>
    <w:rsid w:val="005F7979"/>
    <w:rsid w:val="005F7BDA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801BA0"/>
    <w:rsid w:val="00802D4D"/>
    <w:rsid w:val="00821F5E"/>
    <w:rsid w:val="008225AC"/>
    <w:rsid w:val="0082533E"/>
    <w:rsid w:val="00833E03"/>
    <w:rsid w:val="008474E1"/>
    <w:rsid w:val="00854B98"/>
    <w:rsid w:val="00862481"/>
    <w:rsid w:val="0086543B"/>
    <w:rsid w:val="00881E6A"/>
    <w:rsid w:val="008872C6"/>
    <w:rsid w:val="008A1E71"/>
    <w:rsid w:val="008C77A4"/>
    <w:rsid w:val="008E2247"/>
    <w:rsid w:val="008F4C1B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D03A5"/>
    <w:rsid w:val="009D375C"/>
    <w:rsid w:val="009D4019"/>
    <w:rsid w:val="009D59B4"/>
    <w:rsid w:val="009E7F6C"/>
    <w:rsid w:val="009F0051"/>
    <w:rsid w:val="009F51E3"/>
    <w:rsid w:val="009F7A51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9416C"/>
    <w:rsid w:val="00BC28F8"/>
    <w:rsid w:val="00BC7D18"/>
    <w:rsid w:val="00BE3ED5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71B1"/>
    <w:rsid w:val="00DF787A"/>
    <w:rsid w:val="00E04528"/>
    <w:rsid w:val="00E110E0"/>
    <w:rsid w:val="00E27145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73142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2830-8EEA-4A2F-A99C-3695E420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2017-12-27T07:57:00Z</dcterms:created>
  <dcterms:modified xsi:type="dcterms:W3CDTF">2017-12-27T07:58:00Z</dcterms:modified>
</cp:coreProperties>
</file>