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5F" w:rsidRDefault="0031315F" w:rsidP="0031315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rejoint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Formule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1</w:t>
      </w:r>
    </w:p>
    <w:p w:rsidR="0031315F" w:rsidRDefault="0031315F" w:rsidP="0031315F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31315F" w:rsidRDefault="0031315F" w:rsidP="0031315F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Le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spécialiste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allemand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huiles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additifs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investit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plusieurs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millions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discipline pour augmenter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ses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ventes</w:t>
      </w:r>
      <w:proofErr w:type="spellEnd"/>
    </w:p>
    <w:p w:rsidR="0031315F" w:rsidRDefault="0031315F" w:rsidP="0031315F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:rsidR="0031315F" w:rsidRDefault="0031315F" w:rsidP="00BB1768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Février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–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ouvre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l'exercice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avec </w:t>
      </w:r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sensation :</w:t>
      </w:r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rejoint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1. LIQUI MOLY sera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l'une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rares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marques à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être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présentes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onze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courses. « Nous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espérons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qu'un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ou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deux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des 1 milli</w:t>
      </w:r>
      <w:r w:rsidR="00BB1768">
        <w:rPr>
          <w:rFonts w:asciiTheme="minorBidi" w:hAnsiTheme="minorBidi" w:cstheme="minorBidi"/>
          <w:b/>
          <w:bCs/>
          <w:color w:val="000000" w:themeColor="text1"/>
          <w:lang w:val="en"/>
        </w:rPr>
        <w:t>ard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téléspectateurs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regardent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ce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spectacle à la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télévision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le monde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entier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auront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l'idée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regarder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LIQUI MOLY d'un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peu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près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d'acheter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nos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produits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explique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général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.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entrera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scène pour la première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Grand Prix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Bahreïn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 31 mars prochain. «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et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parce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qu'ils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deux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synonymes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performances de pointe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absolues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déclare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Après le Grand Prix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Bahreïn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le logo LIQUI MOLY sera visible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moitié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courses. Ce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partenariat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représente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investissement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d'un million de dollars. « Pour toucher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 monde,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faut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compter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sous,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massivement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ajoute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La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un terrain inconnu pour la marque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lubrifiants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années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2000,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s'était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déjà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engagée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faveur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l'écurie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Jordan.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L'objectif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d'accroître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notoriété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marque.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huiles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additifs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remplissent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tâche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manière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invisible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profondeurs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s'agit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produits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automobilistes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peuvent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apprécier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jours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Pour LIQUI MOLY,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visibilité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marque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d'autant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qualité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supérieure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connaît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 courant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avantages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souligne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Outre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activités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internationales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comprennent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ainsi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TCR Touring Car. 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s'ajoutent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d'innombrables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partenariats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niveaux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national,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régional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même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local. «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ciblons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clients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là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où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trouvent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-à-dire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pays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Günter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directeur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commercial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deuxième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directeur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général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ne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limite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cependant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au sport automobile. Le logo bleu-rouge-blanc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sera visible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hiver aux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de handball, qui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battu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records,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ainsi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qu'aux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de hockey sur glace, à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Tournée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quatre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tremplins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aux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de ski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NBA chez les Chicago Bulls.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visibilité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ouvre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nouveaux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groupes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cibles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de nouveaux clients et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permet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combler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pause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hivernale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sports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mécaniques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Il y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toujours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trois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facteurs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jeu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nombre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spectateurs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sur place,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présence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médiatique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possibilité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créer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dérivés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positifs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propre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image de marque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déclare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responsable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marketing.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de handball,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Championnats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monde de hockey sur glace –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faut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savourer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réjouit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montre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avons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atteint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possible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d'aller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beaucoup plus haut.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façon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sponsor,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achetons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uniquement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événements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sportifs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premier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ordre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avec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excellente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couverture TV. Surtout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événements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présentant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impact international et global. »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plus de son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programme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sponsoring, LIQUI MOLY diffuse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également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classique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entreprises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l'automne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l'entreprise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lancé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première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numérique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mondiale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avec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portée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1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,6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milliard de contacts. «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pensons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pression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augmenté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dernières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années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reconnaît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« Pour nous faire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remarquer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devons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mettre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l'accent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sur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encore plus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d'argent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afin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d'accroître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notoriété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marque. »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Allemagne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Autriche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nouvelle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plusieurs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millions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d'euros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bientôt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lancée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présentes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double page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principaux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magazines automobiles. Avec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point de mire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sondage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lecteurs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magazine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allemand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« Auto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Zeitung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» :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ils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étaient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invités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élire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meilleure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d'huile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Résultat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?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Chaque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depuis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2010,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lecteurs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choisissent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meilleure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marque »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parmi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fabricants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d'huile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également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classée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deuxième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catégorie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produits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d'entretien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« Avec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voulons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seulement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faire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produits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aussi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remercier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personnes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qui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fait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confiance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clôturé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l'année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2018 avec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nouveau record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réussite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aussi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question de perspective.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hausse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deux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pour cent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exploit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brillant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entreprise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habituée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succès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pourquoi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appelé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à passer à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l'offensive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: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2019,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frapper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 grand coup ! Notre entrée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Formule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fait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partie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du plan. »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Après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chiffre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d'affaires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545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d'euros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dernier,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devrait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atteindre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moins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millions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d'euros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augmentation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moins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dix pour cent. Sur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marché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allemand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occupe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désormais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position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forte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qu'il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difficile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d'atteindre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croissance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supplémentaire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C'est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pourquoi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l'accent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sur les exportations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mondiales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plus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plus sur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nouvelle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stratégie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commerciale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Traditionnellement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l'entreprise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vend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ses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produits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plupart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des pays par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l'intermédiaire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d'importateurs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indépendants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Italie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et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France,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prend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désormais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charge.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importateurs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n'ont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ressources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nécessaires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développer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nous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souhaitons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souligne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«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disposons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d'opportunités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très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différentes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grandir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seulement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petits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pas,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aussi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 grands bonds. »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Il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vrai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stratégie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s'avère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d'abord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coûteuse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termes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personnel et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Mais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investissements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révéleront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rentables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sur le long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terme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car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l'Italie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la France nous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offrent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énorme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potentiel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»</w:t>
      </w:r>
    </w:p>
    <w:p w:rsidR="0031315F" w:rsidRDefault="0031315F" w:rsidP="0031315F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Cette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année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réussite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repose sur trois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piliers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Ernst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Prost :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«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qualité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produit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exceptionnelle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pouvoir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classe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mondiale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l'amélioration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drastique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notoriété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marque. » 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12245B" w:rsidRPr="00F1648E" w:rsidRDefault="0012245B" w:rsidP="0012245B">
      <w:pPr>
        <w:keepNext/>
        <w:keepLines/>
        <w:autoSpaceDE w:val="0"/>
        <w:autoSpaceDN w:val="0"/>
        <w:adjustRightInd w:val="0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"/>
        </w:rPr>
        <w:t xml:space="preserve">Pour plus </w:t>
      </w:r>
      <w:proofErr w:type="spellStart"/>
      <w:r>
        <w:rPr>
          <w:rFonts w:ascii="Arial" w:hAnsi="Arial" w:cs="Arial"/>
          <w:b/>
          <w:bCs/>
          <w:lang w:val="en"/>
        </w:rPr>
        <w:t>d'informations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veuillez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vous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adresser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à :</w:t>
      </w:r>
      <w:proofErr w:type="gramEnd"/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 xml:space="preserve">Peter </w:t>
      </w:r>
      <w:proofErr w:type="spellStart"/>
      <w:r w:rsidRPr="000A10F2">
        <w:rPr>
          <w:rFonts w:ascii="Arial" w:hAnsi="Arial" w:cs="Arial"/>
          <w:color w:val="000000"/>
          <w:lang w:val="en-US"/>
        </w:rPr>
        <w:t>Szarafinski</w:t>
      </w:r>
      <w:proofErr w:type="spellEnd"/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434F88" w:rsidRPr="000A10F2" w:rsidRDefault="00434F88" w:rsidP="00434F88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434F88" w:rsidRPr="000A10F2" w:rsidRDefault="00434F88" w:rsidP="00434F88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12245B" w:rsidRPr="00366754" w:rsidRDefault="0012245B" w:rsidP="0012245B">
      <w:pPr>
        <w:keepNext/>
        <w:keepLines/>
        <w:spacing w:after="240"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7AD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245B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34F88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274B0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2019-02-08T07:48:00Z</dcterms:created>
  <dcterms:modified xsi:type="dcterms:W3CDTF">2019-02-08T10:42:00Z</dcterms:modified>
</cp:coreProperties>
</file>