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E1" w:rsidRDefault="00557DE1" w:rsidP="00557DE1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Vidange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d’huile</w:t>
      </w:r>
      <w:proofErr w:type="spellEnd"/>
      <w:r>
        <w:rPr>
          <w:rFonts w:ascii="Arial" w:hAnsi="Arial"/>
          <w:b/>
          <w:sz w:val="36"/>
          <w:szCs w:val="36"/>
        </w:rPr>
        <w:t xml:space="preserve"> plus </w:t>
      </w:r>
      <w:proofErr w:type="spellStart"/>
      <w:r>
        <w:rPr>
          <w:rFonts w:ascii="Arial" w:hAnsi="Arial"/>
          <w:b/>
          <w:sz w:val="36"/>
          <w:szCs w:val="36"/>
        </w:rPr>
        <w:t>aisée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les </w:t>
      </w:r>
      <w:proofErr w:type="spellStart"/>
      <w:r>
        <w:rPr>
          <w:rFonts w:ascii="Arial" w:hAnsi="Arial"/>
          <w:b/>
          <w:sz w:val="36"/>
          <w:szCs w:val="36"/>
        </w:rPr>
        <w:t>boîtes</w:t>
      </w:r>
      <w:proofErr w:type="spellEnd"/>
      <w:r>
        <w:rPr>
          <w:rFonts w:ascii="Arial" w:hAnsi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/>
          <w:b/>
          <w:sz w:val="36"/>
          <w:szCs w:val="36"/>
        </w:rPr>
        <w:t>vitesses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automatiques</w:t>
      </w:r>
      <w:proofErr w:type="spellEnd"/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Vidange</w:t>
      </w:r>
      <w:proofErr w:type="spellEnd"/>
      <w:r>
        <w:rPr>
          <w:rFonts w:ascii="Arial" w:hAnsi="Arial"/>
          <w:sz w:val="28"/>
          <w:szCs w:val="28"/>
        </w:rPr>
        <w:t xml:space="preserve"> ATF </w:t>
      </w:r>
      <w:proofErr w:type="spellStart"/>
      <w:r>
        <w:rPr>
          <w:rFonts w:ascii="Arial" w:hAnsi="Arial"/>
          <w:sz w:val="28"/>
          <w:szCs w:val="28"/>
        </w:rPr>
        <w:t>entièrement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automatique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avec</w:t>
      </w:r>
      <w:proofErr w:type="spellEnd"/>
      <w:r>
        <w:rPr>
          <w:rFonts w:ascii="Arial" w:hAnsi="Arial"/>
          <w:sz w:val="28"/>
          <w:szCs w:val="28"/>
        </w:rPr>
        <w:t xml:space="preserve"> le </w:t>
      </w:r>
      <w:proofErr w:type="spellStart"/>
      <w:r>
        <w:rPr>
          <w:rFonts w:ascii="Arial" w:hAnsi="Arial"/>
          <w:sz w:val="28"/>
          <w:szCs w:val="28"/>
        </w:rPr>
        <w:t>nouveau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Gear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Tronic</w:t>
      </w:r>
      <w:proofErr w:type="spellEnd"/>
      <w:r>
        <w:rPr>
          <w:rFonts w:ascii="Arial" w:hAnsi="Arial"/>
          <w:sz w:val="28"/>
          <w:szCs w:val="28"/>
        </w:rPr>
        <w:t xml:space="preserve"> II de LIQUI MOLY </w:t>
      </w: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2018 – La </w:t>
      </w:r>
      <w:proofErr w:type="spellStart"/>
      <w:r>
        <w:rPr>
          <w:rFonts w:ascii="Arial" w:hAnsi="Arial"/>
          <w:b/>
        </w:rPr>
        <w:t>vidange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boîtes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vitesses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automatiques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tâche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difficile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n’est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comparable</w:t>
      </w:r>
      <w:proofErr w:type="spellEnd"/>
      <w:r>
        <w:rPr>
          <w:rFonts w:ascii="Arial" w:hAnsi="Arial"/>
          <w:b/>
        </w:rPr>
        <w:t xml:space="preserve"> à la </w:t>
      </w:r>
      <w:proofErr w:type="spellStart"/>
      <w:r>
        <w:rPr>
          <w:rFonts w:ascii="Arial" w:hAnsi="Arial"/>
          <w:b/>
        </w:rPr>
        <w:t>vidange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nouveau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Tronic</w:t>
      </w:r>
      <w:proofErr w:type="spellEnd"/>
      <w:r>
        <w:rPr>
          <w:rFonts w:ascii="Arial" w:hAnsi="Arial"/>
          <w:b/>
        </w:rPr>
        <w:t xml:space="preserve"> II du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s’en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charge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automatiquement</w:t>
      </w:r>
      <w:proofErr w:type="spellEnd"/>
      <w:r>
        <w:rPr>
          <w:rFonts w:ascii="Arial" w:hAnsi="Arial"/>
          <w:b/>
        </w:rPr>
        <w:t xml:space="preserve">. « La </w:t>
      </w:r>
      <w:proofErr w:type="spellStart"/>
      <w:r>
        <w:rPr>
          <w:rFonts w:ascii="Arial" w:hAnsi="Arial"/>
          <w:b/>
        </w:rPr>
        <w:t>vidange</w:t>
      </w:r>
      <w:proofErr w:type="spellEnd"/>
      <w:r>
        <w:rPr>
          <w:rFonts w:ascii="Arial" w:hAnsi="Arial"/>
          <w:b/>
        </w:rPr>
        <w:t xml:space="preserve"> ATF </w:t>
      </w:r>
      <w:proofErr w:type="spellStart"/>
      <w:r>
        <w:rPr>
          <w:rFonts w:ascii="Arial" w:hAnsi="Arial"/>
          <w:b/>
        </w:rPr>
        <w:t>devient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jeu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d’enfant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n’est</w:t>
      </w:r>
      <w:proofErr w:type="spellEnd"/>
      <w:r>
        <w:rPr>
          <w:rFonts w:ascii="Arial" w:hAnsi="Arial"/>
          <w:b/>
        </w:rPr>
        <w:t xml:space="preserve"> plus </w:t>
      </w:r>
      <w:proofErr w:type="spellStart"/>
      <w:r>
        <w:rPr>
          <w:rFonts w:ascii="Arial" w:hAnsi="Arial"/>
          <w:b/>
        </w:rPr>
        <w:t>réservée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ateliers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spécialisés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explique</w:t>
      </w:r>
      <w:proofErr w:type="spellEnd"/>
      <w:r>
        <w:rPr>
          <w:rFonts w:ascii="Arial" w:hAnsi="Arial"/>
          <w:b/>
        </w:rPr>
        <w:t xml:space="preserve"> David Kaiser, responsable de la </w:t>
      </w:r>
      <w:proofErr w:type="spellStart"/>
      <w:r>
        <w:rPr>
          <w:rFonts w:ascii="Arial" w:hAnsi="Arial"/>
          <w:b/>
        </w:rPr>
        <w:t>recherche</w:t>
      </w:r>
      <w:proofErr w:type="spellEnd"/>
      <w:r>
        <w:rPr>
          <w:rFonts w:ascii="Arial" w:hAnsi="Arial"/>
          <w:b/>
        </w:rPr>
        <w:t xml:space="preserve"> et du </w:t>
      </w:r>
      <w:proofErr w:type="spellStart"/>
      <w:r>
        <w:rPr>
          <w:rFonts w:ascii="Arial" w:hAnsi="Arial"/>
          <w:b/>
        </w:rPr>
        <w:t>développement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LIQUI MOLY. </w:t>
      </w: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vidange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boîtes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beaucoup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compliquée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vidange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suffit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d’ouvrir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vidange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s’écouler</w:t>
      </w:r>
      <w:proofErr w:type="spellEnd"/>
      <w:r>
        <w:rPr>
          <w:rFonts w:ascii="Arial" w:hAnsi="Arial"/>
        </w:rPr>
        <w:t xml:space="preserve">. Avec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transmission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beaucoup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usagée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jusqu’à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tiers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quantité</w:t>
      </w:r>
      <w:proofErr w:type="spellEnd"/>
      <w:r>
        <w:rPr>
          <w:rFonts w:ascii="Arial" w:hAnsi="Arial"/>
        </w:rPr>
        <w:t xml:space="preserve"> totale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vidanger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transmission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Selon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véhicule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l’accès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via le </w:t>
      </w:r>
      <w:proofErr w:type="spellStart"/>
      <w:r>
        <w:rPr>
          <w:rFonts w:ascii="Arial" w:hAnsi="Arial"/>
        </w:rPr>
        <w:t>tube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conducteur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jauge</w:t>
      </w:r>
      <w:proofErr w:type="spellEnd"/>
      <w:r>
        <w:rPr>
          <w:rFonts w:ascii="Arial" w:hAnsi="Arial"/>
        </w:rPr>
        <w:t xml:space="preserve">, via les </w:t>
      </w:r>
      <w:proofErr w:type="spellStart"/>
      <w:r>
        <w:rPr>
          <w:rFonts w:ascii="Arial" w:hAnsi="Arial"/>
        </w:rPr>
        <w:t>raccords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flexibles </w:t>
      </w:r>
      <w:proofErr w:type="spellStart"/>
      <w:r>
        <w:rPr>
          <w:rFonts w:ascii="Arial" w:hAnsi="Arial"/>
        </w:rPr>
        <w:t>situés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refroidisseur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. </w:t>
      </w: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vidange</w:t>
      </w:r>
      <w:proofErr w:type="spellEnd"/>
      <w:r>
        <w:rPr>
          <w:rFonts w:ascii="Arial" w:hAnsi="Arial"/>
        </w:rPr>
        <w:t xml:space="preserve"> et le </w:t>
      </w:r>
      <w:proofErr w:type="spellStart"/>
      <w:r>
        <w:rPr>
          <w:rFonts w:ascii="Arial" w:hAnsi="Arial"/>
        </w:rPr>
        <w:t>remplissage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simultanés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boîte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entièrement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automatiques</w:t>
      </w:r>
      <w:proofErr w:type="spellEnd"/>
      <w:r>
        <w:rPr>
          <w:rFonts w:ascii="Arial" w:hAnsi="Arial"/>
        </w:rPr>
        <w:t xml:space="preserve"> et ne </w:t>
      </w:r>
      <w:proofErr w:type="spellStart"/>
      <w:r>
        <w:rPr>
          <w:rFonts w:ascii="Arial" w:hAnsi="Arial"/>
        </w:rPr>
        <w:t>nécessitent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surveillance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navigation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menu</w:t>
      </w:r>
      <w:proofErr w:type="spellEnd"/>
      <w:r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l’écran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tactile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assistée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ordinateur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particulièrement</w:t>
      </w:r>
      <w:proofErr w:type="spellEnd"/>
      <w:r>
        <w:rPr>
          <w:rFonts w:ascii="Arial" w:hAnsi="Arial"/>
        </w:rPr>
        <w:t xml:space="preserve"> intuitive.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faciliter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tâche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mécanicien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contient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base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données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lastRenderedPageBreak/>
        <w:t>véhicules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indique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transmission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requise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chaque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quantité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remplissage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simplifie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travail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quotidien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protection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erreurs</w:t>
      </w:r>
      <w:proofErr w:type="spellEnd"/>
      <w:r>
        <w:rPr>
          <w:rFonts w:ascii="Arial" w:hAnsi="Arial"/>
        </w:rPr>
        <w:t xml:space="preserve"> et les </w:t>
      </w:r>
      <w:proofErr w:type="spellStart"/>
      <w:r>
        <w:rPr>
          <w:rFonts w:ascii="Arial" w:hAnsi="Arial"/>
        </w:rPr>
        <w:t>réclamations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coûteuses</w:t>
      </w:r>
      <w:proofErr w:type="spellEnd"/>
      <w:r>
        <w:rPr>
          <w:rFonts w:ascii="Arial" w:hAnsi="Arial"/>
        </w:rPr>
        <w:t xml:space="preserve">. </w:t>
      </w: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</w:t>
      </w:r>
      <w:proofErr w:type="spellStart"/>
      <w:r>
        <w:rPr>
          <w:rFonts w:ascii="Arial" w:hAnsi="Arial"/>
        </w:rPr>
        <w:t>ne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limite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vidange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intégrer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d’entretien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point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technique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représente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activité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supplémentaire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l’atelier</w:t>
      </w:r>
      <w:proofErr w:type="spellEnd"/>
      <w:r>
        <w:rPr>
          <w:rFonts w:ascii="Arial" w:hAnsi="Arial"/>
        </w:rPr>
        <w:t xml:space="preserve">. </w:t>
      </w: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</w:p>
    <w:p w:rsidR="00557DE1" w:rsidRDefault="00557DE1" w:rsidP="00557DE1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modèle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précédent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Gear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Tronic</w:t>
      </w:r>
      <w:proofErr w:type="spellEnd"/>
      <w:r>
        <w:rPr>
          <w:rFonts w:ascii="Arial" w:hAnsi="Arial"/>
        </w:rPr>
        <w:t xml:space="preserve"> II a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lancé</w:t>
      </w:r>
      <w:proofErr w:type="spellEnd"/>
      <w:r>
        <w:rPr>
          <w:rFonts w:ascii="Arial" w:hAnsi="Arial"/>
        </w:rPr>
        <w:t xml:space="preserve"> par LIQUI MOLY en 2015. Il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immédiatement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devenu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incontournable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ateliers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l’utiliser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élargir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services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d’inclure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vidange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boîtes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vitesses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automatiques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Quelque</w:t>
      </w:r>
      <w:proofErr w:type="spellEnd"/>
      <w:r>
        <w:rPr>
          <w:rFonts w:ascii="Arial" w:hAnsi="Arial"/>
        </w:rPr>
        <w:t xml:space="preserve"> 650 </w:t>
      </w:r>
      <w:proofErr w:type="spellStart"/>
      <w:r>
        <w:rPr>
          <w:rFonts w:ascii="Arial" w:hAnsi="Arial"/>
        </w:rPr>
        <w:t>appareils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actuellement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 xml:space="preserve">. 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proofErr w:type="gramStart"/>
      <w:r w:rsidRPr="00E97075">
        <w:rPr>
          <w:rFonts w:ascii="Arial" w:hAnsi="Arial"/>
        </w:rPr>
        <w:t>produits</w:t>
      </w:r>
      <w:proofErr w:type="spellEnd"/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6933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57DE1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2018-05-09T07:10:00Z</dcterms:created>
  <dcterms:modified xsi:type="dcterms:W3CDTF">2018-05-09T07:11:00Z</dcterms:modified>
</cp:coreProperties>
</file>